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11" w:rsidRPr="00B3593C" w:rsidRDefault="00AB1811" w:rsidP="005859A8">
      <w:pPr>
        <w:ind w:left="180" w:right="126" w:firstLine="720"/>
        <w:jc w:val="both"/>
        <w:rPr>
          <w:sz w:val="12"/>
          <w:szCs w:val="12"/>
        </w:rPr>
      </w:pPr>
    </w:p>
    <w:p w:rsidR="00E42A17" w:rsidRDefault="00E42A17" w:rsidP="00113348">
      <w:pPr>
        <w:ind w:left="142" w:right="142"/>
        <w:jc w:val="center"/>
        <w:rPr>
          <w:b/>
        </w:rPr>
      </w:pPr>
    </w:p>
    <w:p w:rsidR="00E42A17" w:rsidRDefault="00E42A17" w:rsidP="00113348">
      <w:pPr>
        <w:ind w:left="142" w:right="142"/>
        <w:jc w:val="center"/>
        <w:rPr>
          <w:b/>
        </w:rPr>
      </w:pPr>
      <w:r>
        <w:rPr>
          <w:b/>
        </w:rPr>
        <w:t xml:space="preserve">PLOKŠČIŲ SUTAPDINTŲ STOGŲ </w:t>
      </w:r>
      <w:r w:rsidR="002E0D2D">
        <w:rPr>
          <w:b/>
        </w:rPr>
        <w:t>HIDROIZOLIACINĖS MEMBRANOS ĮRENGIMAS</w:t>
      </w:r>
    </w:p>
    <w:p w:rsidR="000113FB" w:rsidRPr="00CA2098" w:rsidRDefault="000113FB" w:rsidP="00113348">
      <w:pPr>
        <w:ind w:left="142" w:right="142"/>
        <w:jc w:val="center"/>
        <w:rPr>
          <w:b/>
        </w:rPr>
      </w:pPr>
      <w:r w:rsidRPr="00CA2098">
        <w:rPr>
          <w:b/>
        </w:rPr>
        <w:t>TECHNINĖ SPECIFIKACIJA</w:t>
      </w:r>
    </w:p>
    <w:p w:rsidR="002E0D2D" w:rsidRDefault="002E0D2D" w:rsidP="00DE5413">
      <w:pPr>
        <w:ind w:left="180" w:right="126" w:firstLine="450"/>
        <w:jc w:val="both"/>
      </w:pPr>
    </w:p>
    <w:p w:rsidR="00741A6A" w:rsidRPr="00CA2098" w:rsidRDefault="002E0D2D" w:rsidP="00475BFB">
      <w:pPr>
        <w:ind w:left="142" w:right="180" w:firstLine="425"/>
        <w:jc w:val="both"/>
      </w:pPr>
      <w:r>
        <w:t>Stogo hidroizoliacinė</w:t>
      </w:r>
      <w:r w:rsidR="00D25020">
        <w:t>s sluoksnio įrengimui turi būti naudojama</w:t>
      </w:r>
      <w:r w:rsidR="003D5EB3">
        <w:t xml:space="preserve"> </w:t>
      </w:r>
      <w:proofErr w:type="spellStart"/>
      <w:r w:rsidR="003D5EB3">
        <w:t>vienasluoksnė</w:t>
      </w:r>
      <w:proofErr w:type="spellEnd"/>
      <w:r w:rsidR="0075774E">
        <w:t>,</w:t>
      </w:r>
      <w:r w:rsidR="003D5EB3">
        <w:t xml:space="preserve"> </w:t>
      </w:r>
      <w:r w:rsidR="00D25020">
        <w:t>1</w:t>
      </w:r>
      <w:r w:rsidR="00515319">
        <w:t>,6</w:t>
      </w:r>
      <w:r w:rsidR="00D25020">
        <w:t xml:space="preserve"> mm storio</w:t>
      </w:r>
      <w:r w:rsidR="003D5EB3">
        <w:t>,</w:t>
      </w:r>
      <w:r>
        <w:t xml:space="preserve"> </w:t>
      </w:r>
      <w:proofErr w:type="spellStart"/>
      <w:r>
        <w:t>polivinilchlorido</w:t>
      </w:r>
      <w:proofErr w:type="spellEnd"/>
      <w:r w:rsidR="005B7585">
        <w:t xml:space="preserve"> </w:t>
      </w:r>
      <w:r w:rsidR="00515319">
        <w:t>(</w:t>
      </w:r>
      <w:r w:rsidR="005B7585">
        <w:t>PVC</w:t>
      </w:r>
      <w:r w:rsidR="00515319">
        <w:t>)</w:t>
      </w:r>
      <w:r w:rsidR="005B7585">
        <w:t xml:space="preserve"> </w:t>
      </w:r>
      <w:r w:rsidR="00D25020">
        <w:t xml:space="preserve">stogo danga </w:t>
      </w:r>
      <w:r w:rsidR="00515319">
        <w:t>PROTAN SE</w:t>
      </w:r>
      <w:r w:rsidR="00DC7C82">
        <w:t xml:space="preserve">, </w:t>
      </w:r>
      <w:r w:rsidR="00D25020">
        <w:t xml:space="preserve">pagaminta </w:t>
      </w:r>
      <w:r w:rsidR="00D25020">
        <w:rPr>
          <w:bCs/>
        </w:rPr>
        <w:t xml:space="preserve">pagal </w:t>
      </w:r>
      <w:r w:rsidR="00D25020" w:rsidRPr="00400C72">
        <w:rPr>
          <w:bCs/>
        </w:rPr>
        <w:t xml:space="preserve">LST EN </w:t>
      </w:r>
      <w:r w:rsidR="00D25020" w:rsidRPr="00031440">
        <w:rPr>
          <w:bCs/>
        </w:rPr>
        <w:t xml:space="preserve">13956 </w:t>
      </w:r>
      <w:r w:rsidR="00D25020" w:rsidRPr="00400C72">
        <w:rPr>
          <w:bCs/>
        </w:rPr>
        <w:t>reikalavimus</w:t>
      </w:r>
      <w:r w:rsidR="003D5EB3">
        <w:rPr>
          <w:bCs/>
        </w:rPr>
        <w:t>,</w:t>
      </w:r>
      <w:r w:rsidR="00D25020" w:rsidRPr="00400C72">
        <w:t xml:space="preserve"> arba alternatyvi</w:t>
      </w:r>
      <w:r w:rsidR="003D5EB3">
        <w:t>,</w:t>
      </w:r>
      <w:r w:rsidR="00D25020" w:rsidRPr="00400C72">
        <w:t xml:space="preserve"> su ne prastesnėmis techninėmis charakteristikomis nei parinktoji danga. </w:t>
      </w:r>
    </w:p>
    <w:p w:rsidR="003D5EB3" w:rsidRDefault="00515319" w:rsidP="00515319">
      <w:pPr>
        <w:ind w:left="180" w:right="126" w:firstLine="387"/>
        <w:jc w:val="both"/>
      </w:pPr>
      <w:r>
        <w:t>P</w:t>
      </w:r>
      <w:r w:rsidR="005B7585">
        <w:t xml:space="preserve">lokščių stogų hidroizoliacinės membranos įrengimo </w:t>
      </w:r>
      <w:r w:rsidR="00226A2A" w:rsidRPr="00CA2098">
        <w:t>darbams</w:t>
      </w:r>
      <w:r w:rsidR="00DE5413" w:rsidRPr="00CA2098">
        <w:t xml:space="preserve"> naudojam</w:t>
      </w:r>
      <w:r w:rsidR="00D25020">
        <w:t>o</w:t>
      </w:r>
      <w:r w:rsidR="005B7585">
        <w:t xml:space="preserve"> </w:t>
      </w:r>
      <w:proofErr w:type="spellStart"/>
      <w:r w:rsidR="005B7585">
        <w:t>polivinilcholorid</w:t>
      </w:r>
      <w:r w:rsidR="00D25020">
        <w:t>o</w:t>
      </w:r>
      <w:proofErr w:type="spellEnd"/>
      <w:r w:rsidR="00D25020">
        <w:t xml:space="preserve"> (PVC) </w:t>
      </w:r>
      <w:r w:rsidR="00DE5413" w:rsidRPr="00CA2098">
        <w:t>techninės charakteristikos</w:t>
      </w:r>
      <w:r w:rsidR="00345FEC">
        <w:t xml:space="preserve"> </w:t>
      </w:r>
      <w:r w:rsidR="009004B1">
        <w:t>yra</w:t>
      </w:r>
      <w:r w:rsidR="00345FEC">
        <w:t xml:space="preserve"> </w:t>
      </w:r>
      <w:r w:rsidR="009004B1">
        <w:t>nustatomas</w:t>
      </w:r>
      <w:r w:rsidR="00345FEC">
        <w:t xml:space="preserve"> pagal </w:t>
      </w:r>
      <w:r w:rsidR="009004B1">
        <w:t>pateiktus standartus, su ne</w:t>
      </w:r>
      <w:r w:rsidR="00505321">
        <w:t xml:space="preserve"> mažesnėmis</w:t>
      </w:r>
      <w:r w:rsidR="00DE5413" w:rsidRPr="00CA2098">
        <w:t xml:space="preserve"> nei</w:t>
      </w:r>
      <w:r w:rsidR="009004B1">
        <w:t xml:space="preserve"> 1 lentelėje</w:t>
      </w:r>
      <w:r w:rsidR="009004B1" w:rsidRPr="009004B1">
        <w:t xml:space="preserve"> </w:t>
      </w:r>
      <w:r w:rsidR="009004B1">
        <w:t>nurodytomis vertėmis.</w:t>
      </w:r>
    </w:p>
    <w:p w:rsidR="00515319" w:rsidRDefault="00515319" w:rsidP="00515319">
      <w:pPr>
        <w:ind w:left="180" w:right="126" w:firstLine="387"/>
        <w:jc w:val="both"/>
      </w:pPr>
    </w:p>
    <w:tbl>
      <w:tblPr>
        <w:tblStyle w:val="Lentelstinklelis"/>
        <w:tblW w:w="0" w:type="auto"/>
        <w:tblInd w:w="180" w:type="dxa"/>
        <w:tblLook w:val="04A0" w:firstRow="1" w:lastRow="0" w:firstColumn="1" w:lastColumn="0" w:noHBand="0" w:noVBand="1"/>
      </w:tblPr>
      <w:tblGrid>
        <w:gridCol w:w="4271"/>
        <w:gridCol w:w="3086"/>
        <w:gridCol w:w="2386"/>
      </w:tblGrid>
      <w:tr w:rsidR="005B7585" w:rsidTr="00F84267">
        <w:tc>
          <w:tcPr>
            <w:tcW w:w="9743" w:type="dxa"/>
            <w:gridSpan w:val="3"/>
            <w:tcBorders>
              <w:top w:val="nil"/>
              <w:left w:val="nil"/>
              <w:right w:val="nil"/>
            </w:tcBorders>
          </w:tcPr>
          <w:p w:rsidR="005B7585" w:rsidRPr="002E0D2D" w:rsidRDefault="005B7585" w:rsidP="00475BFB">
            <w:pPr>
              <w:ind w:right="126"/>
              <w:rPr>
                <w:b/>
                <w:sz w:val="22"/>
                <w:szCs w:val="22"/>
              </w:rPr>
            </w:pPr>
            <w:r w:rsidRPr="00EE09F2">
              <w:rPr>
                <w:b/>
                <w:sz w:val="22"/>
                <w:szCs w:val="22"/>
              </w:rPr>
              <w:t xml:space="preserve">1 lentelė: </w:t>
            </w:r>
            <w:r>
              <w:rPr>
                <w:b/>
                <w:sz w:val="22"/>
                <w:szCs w:val="22"/>
              </w:rPr>
              <w:t xml:space="preserve">PVC </w:t>
            </w:r>
            <w:r w:rsidR="00475BFB">
              <w:rPr>
                <w:b/>
                <w:sz w:val="22"/>
                <w:szCs w:val="22"/>
              </w:rPr>
              <w:t xml:space="preserve">stogo dangos </w:t>
            </w:r>
            <w:r w:rsidRPr="00EE09F2">
              <w:rPr>
                <w:b/>
                <w:sz w:val="22"/>
                <w:szCs w:val="22"/>
              </w:rPr>
              <w:t>techninės charakteristikos</w:t>
            </w:r>
          </w:p>
        </w:tc>
      </w:tr>
      <w:tr w:rsidR="00F84267" w:rsidRPr="00F84267" w:rsidTr="00F84267">
        <w:tc>
          <w:tcPr>
            <w:tcW w:w="4271" w:type="dxa"/>
          </w:tcPr>
          <w:p w:rsidR="00E42A17" w:rsidRPr="00F84267" w:rsidRDefault="00E42A17" w:rsidP="002E0D2D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F84267">
              <w:rPr>
                <w:b/>
                <w:sz w:val="22"/>
                <w:szCs w:val="22"/>
              </w:rPr>
              <w:t>Rodikliai</w:t>
            </w:r>
          </w:p>
        </w:tc>
        <w:tc>
          <w:tcPr>
            <w:tcW w:w="3086" w:type="dxa"/>
          </w:tcPr>
          <w:p w:rsidR="00E42A17" w:rsidRPr="00F84267" w:rsidRDefault="00E42A17" w:rsidP="002E0D2D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F84267">
              <w:rPr>
                <w:b/>
                <w:sz w:val="22"/>
                <w:szCs w:val="22"/>
              </w:rPr>
              <w:t>Standartas</w:t>
            </w:r>
          </w:p>
        </w:tc>
        <w:tc>
          <w:tcPr>
            <w:tcW w:w="2386" w:type="dxa"/>
          </w:tcPr>
          <w:p w:rsidR="00E42A17" w:rsidRPr="00F84267" w:rsidRDefault="00E42A17" w:rsidP="002E0D2D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F84267">
              <w:rPr>
                <w:b/>
                <w:sz w:val="22"/>
                <w:szCs w:val="22"/>
              </w:rPr>
              <w:t>Vertės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E42A17" w:rsidRPr="00F84267" w:rsidRDefault="00E42A17" w:rsidP="002E0D2D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Sluoksnio storis, mm</w:t>
            </w:r>
          </w:p>
        </w:tc>
        <w:tc>
          <w:tcPr>
            <w:tcW w:w="3086" w:type="dxa"/>
            <w:vAlign w:val="center"/>
          </w:tcPr>
          <w:p w:rsidR="00E42A17" w:rsidRPr="00F84267" w:rsidRDefault="002E0D2D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-</w:t>
            </w:r>
          </w:p>
        </w:tc>
        <w:tc>
          <w:tcPr>
            <w:tcW w:w="2386" w:type="dxa"/>
            <w:vAlign w:val="center"/>
          </w:tcPr>
          <w:p w:rsidR="00E42A17" w:rsidRPr="00F84267" w:rsidRDefault="007C08F0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1.</w:t>
            </w:r>
            <w:r w:rsidR="00475BFB" w:rsidRPr="00F84267">
              <w:rPr>
                <w:sz w:val="20"/>
                <w:szCs w:val="20"/>
              </w:rPr>
              <w:t>6</w:t>
            </w:r>
            <w:r w:rsidR="002E0D2D" w:rsidRPr="00F84267">
              <w:rPr>
                <w:sz w:val="20"/>
                <w:szCs w:val="20"/>
              </w:rPr>
              <w:t xml:space="preserve"> mm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6B52FA" w:rsidRPr="00F84267" w:rsidRDefault="006B52FA" w:rsidP="002E0D2D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Atsparumas tempimui</w:t>
            </w:r>
          </w:p>
        </w:tc>
        <w:tc>
          <w:tcPr>
            <w:tcW w:w="3086" w:type="dxa"/>
            <w:vMerge w:val="restart"/>
            <w:vAlign w:val="center"/>
          </w:tcPr>
          <w:p w:rsidR="006B52FA" w:rsidRPr="00F84267" w:rsidRDefault="006B52FA" w:rsidP="007C08F0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 xml:space="preserve">EN 12311-2 </w:t>
            </w:r>
            <w:r w:rsidR="007C08F0" w:rsidRPr="00F84267">
              <w:rPr>
                <w:sz w:val="20"/>
                <w:szCs w:val="20"/>
              </w:rPr>
              <w:t>(A)</w:t>
            </w:r>
          </w:p>
        </w:tc>
        <w:tc>
          <w:tcPr>
            <w:tcW w:w="2386" w:type="dxa"/>
            <w:vAlign w:val="center"/>
          </w:tcPr>
          <w:p w:rsidR="006B52FA" w:rsidRPr="00F84267" w:rsidRDefault="007C08F0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 xml:space="preserve">≥ </w:t>
            </w:r>
            <w:r w:rsidR="00475BFB" w:rsidRPr="00F84267">
              <w:rPr>
                <w:sz w:val="20"/>
                <w:szCs w:val="20"/>
              </w:rPr>
              <w:t>50</w:t>
            </w:r>
            <w:r w:rsidRPr="00F84267">
              <w:rPr>
                <w:sz w:val="20"/>
                <w:szCs w:val="20"/>
              </w:rPr>
              <w:t>0 N/50 mm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6B52FA" w:rsidRPr="00F84267" w:rsidRDefault="006B52FA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Pailgėjimas</w:t>
            </w:r>
            <w:r w:rsidR="00475BFB" w:rsidRPr="00F842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6B52FA" w:rsidRPr="00F84267" w:rsidRDefault="006B52FA" w:rsidP="002E0D2D">
            <w:pPr>
              <w:ind w:left="175" w:right="126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6B52FA" w:rsidRPr="00F84267" w:rsidRDefault="006B52FA" w:rsidP="00475BFB">
            <w:pPr>
              <w:ind w:right="126"/>
              <w:jc w:val="center"/>
              <w:rPr>
                <w:sz w:val="20"/>
                <w:szCs w:val="20"/>
                <w:lang w:val="ru-RU"/>
              </w:rPr>
            </w:pPr>
            <w:r w:rsidRPr="00F84267">
              <w:rPr>
                <w:sz w:val="20"/>
                <w:szCs w:val="20"/>
              </w:rPr>
              <w:t>≥ 1</w:t>
            </w:r>
            <w:r w:rsidR="00475BFB" w:rsidRPr="00F84267">
              <w:rPr>
                <w:sz w:val="20"/>
                <w:szCs w:val="20"/>
              </w:rPr>
              <w:t xml:space="preserve">80 </w:t>
            </w:r>
            <w:r w:rsidR="00475BFB" w:rsidRPr="00F84267">
              <w:rPr>
                <w:sz w:val="20"/>
                <w:szCs w:val="20"/>
                <w:lang w:val="ru-RU"/>
              </w:rPr>
              <w:t>%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 xml:space="preserve">Vandens </w:t>
            </w:r>
            <w:proofErr w:type="spellStart"/>
            <w:r w:rsidRPr="00F84267">
              <w:rPr>
                <w:sz w:val="20"/>
                <w:szCs w:val="20"/>
              </w:rPr>
              <w:t>nepralaidumas</w:t>
            </w:r>
            <w:proofErr w:type="spellEnd"/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1928/A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Išlaikomas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 xml:space="preserve">Vandens </w:t>
            </w:r>
            <w:proofErr w:type="spellStart"/>
            <w:r w:rsidRPr="00F84267">
              <w:rPr>
                <w:sz w:val="20"/>
                <w:szCs w:val="20"/>
              </w:rPr>
              <w:t>nepralaidumas</w:t>
            </w:r>
            <w:proofErr w:type="spellEnd"/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1928/B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Išlaikomas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Degumo klasifikacija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13501-1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F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Atsparumas išorinės ugnies poveikiui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ENV 1187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B</w:t>
            </w:r>
            <w:r w:rsidRPr="00F84267">
              <w:rPr>
                <w:sz w:val="20"/>
                <w:szCs w:val="20"/>
                <w:vertAlign w:val="subscript"/>
              </w:rPr>
              <w:t>ROOF</w:t>
            </w:r>
            <w:r w:rsidRPr="00F84267">
              <w:rPr>
                <w:sz w:val="20"/>
                <w:szCs w:val="20"/>
              </w:rPr>
              <w:t xml:space="preserve"> (t1)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Jungčių atsparumas plėšimui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12316-2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≥ 450 N/50 mm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Atsparumas smūgiui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12691/A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 xml:space="preserve">Išlaikomas, </w:t>
            </w:r>
            <w:r w:rsidRPr="00F84267">
              <w:rPr>
                <w:sz w:val="20"/>
                <w:szCs w:val="20"/>
                <w:lang w:val="ru-RU"/>
              </w:rPr>
              <w:t>60</w:t>
            </w:r>
            <w:r w:rsidRPr="00F84267">
              <w:rPr>
                <w:sz w:val="20"/>
                <w:szCs w:val="20"/>
              </w:rPr>
              <w:t>0 mm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Atsparumas statinei apkrovai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  <w:lang w:val="en-US"/>
              </w:rPr>
            </w:pPr>
            <w:r w:rsidRPr="00F84267">
              <w:rPr>
                <w:sz w:val="20"/>
                <w:szCs w:val="20"/>
              </w:rPr>
              <w:t>EN 12730/</w:t>
            </w:r>
            <w:r w:rsidRPr="00F8426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 xml:space="preserve">Išlaikomas, </w:t>
            </w:r>
            <w:r w:rsidRPr="00F84267">
              <w:rPr>
                <w:sz w:val="20"/>
                <w:szCs w:val="20"/>
              </w:rPr>
              <w:t>≥</w:t>
            </w:r>
            <w:r w:rsidRPr="00F84267">
              <w:rPr>
                <w:sz w:val="20"/>
                <w:szCs w:val="20"/>
              </w:rPr>
              <w:t>15/20 kg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Atsparumas plyšimui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12310-2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475BFB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≥ 110 N / 50 mm</w:t>
            </w:r>
          </w:p>
        </w:tc>
      </w:tr>
      <w:tr w:rsidR="00F84267" w:rsidRPr="00F84267" w:rsidTr="00F84267">
        <w:tc>
          <w:tcPr>
            <w:tcW w:w="4271" w:type="dxa"/>
            <w:vAlign w:val="center"/>
          </w:tcPr>
          <w:p w:rsidR="00475BFB" w:rsidRPr="00F84267" w:rsidRDefault="00475BFB" w:rsidP="00475BFB">
            <w:pPr>
              <w:ind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Lankstumas žemoje temperatūroje</w:t>
            </w:r>
          </w:p>
        </w:tc>
        <w:tc>
          <w:tcPr>
            <w:tcW w:w="3086" w:type="dxa"/>
            <w:vAlign w:val="center"/>
          </w:tcPr>
          <w:p w:rsidR="00475BFB" w:rsidRPr="00F84267" w:rsidRDefault="00475BFB" w:rsidP="00475BFB">
            <w:pPr>
              <w:ind w:left="175" w:right="126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EN 495-5</w:t>
            </w:r>
          </w:p>
        </w:tc>
        <w:tc>
          <w:tcPr>
            <w:tcW w:w="2386" w:type="dxa"/>
            <w:vAlign w:val="center"/>
          </w:tcPr>
          <w:p w:rsidR="00475BFB" w:rsidRPr="00F84267" w:rsidRDefault="00475BFB" w:rsidP="00F84267">
            <w:pPr>
              <w:ind w:right="126"/>
              <w:jc w:val="center"/>
              <w:rPr>
                <w:sz w:val="20"/>
                <w:szCs w:val="20"/>
              </w:rPr>
            </w:pPr>
            <w:r w:rsidRPr="00F84267">
              <w:rPr>
                <w:sz w:val="20"/>
                <w:szCs w:val="20"/>
              </w:rPr>
              <w:t>≤ -</w:t>
            </w:r>
            <w:r w:rsidR="00F84267" w:rsidRPr="00F84267">
              <w:rPr>
                <w:sz w:val="20"/>
                <w:szCs w:val="20"/>
              </w:rPr>
              <w:t>30</w:t>
            </w:r>
            <w:r w:rsidRPr="00F84267">
              <w:rPr>
                <w:sz w:val="20"/>
                <w:szCs w:val="20"/>
              </w:rPr>
              <w:t>°C</w:t>
            </w:r>
          </w:p>
        </w:tc>
      </w:tr>
    </w:tbl>
    <w:p w:rsidR="00E42A17" w:rsidRPr="00F84267" w:rsidRDefault="00E42A17" w:rsidP="00696509">
      <w:pPr>
        <w:ind w:left="180" w:right="126" w:hanging="180"/>
        <w:jc w:val="both"/>
      </w:pPr>
      <w:bookmarkStart w:id="0" w:name="_GoBack"/>
      <w:bookmarkEnd w:id="0"/>
    </w:p>
    <w:p w:rsidR="0075774E" w:rsidRDefault="0075774E" w:rsidP="0075774E">
      <w:pPr>
        <w:ind w:left="180" w:right="126" w:firstLine="450"/>
        <w:jc w:val="both"/>
      </w:pPr>
      <w:r>
        <w:t xml:space="preserve">Parenkant alternatyvią plokščio stogo hidroizoliacinę membraną, turi būti naudojama </w:t>
      </w:r>
      <w:proofErr w:type="spellStart"/>
      <w:r>
        <w:t>polivinilchlorido</w:t>
      </w:r>
      <w:proofErr w:type="spellEnd"/>
      <w:r>
        <w:t xml:space="preserve"> (PVC) </w:t>
      </w:r>
      <w:r w:rsidR="008C4CED">
        <w:t xml:space="preserve">stogo hidroizoliacinė membrana, </w:t>
      </w:r>
      <w:r>
        <w:t xml:space="preserve">atspari krituliams ir ultravioletiniams spinduliams. Alternatyvi sistema turi atitikti </w:t>
      </w:r>
      <w:r w:rsidRPr="00400C72">
        <w:rPr>
          <w:bCs/>
        </w:rPr>
        <w:t xml:space="preserve">LST EN </w:t>
      </w:r>
      <w:r w:rsidRPr="00031440">
        <w:rPr>
          <w:bCs/>
        </w:rPr>
        <w:t xml:space="preserve">13956 </w:t>
      </w:r>
      <w:r>
        <w:t>reikalavimus, gaminiams  išlaikomi ne mažesni kaip 1 lentelėje nurodyti</w:t>
      </w:r>
      <w:r w:rsidRPr="00F13C2D">
        <w:t xml:space="preserve"> </w:t>
      </w:r>
      <w:r>
        <w:t xml:space="preserve"> techniniai rodikliai. Sandarinimo </w:t>
      </w:r>
      <w:r w:rsidR="008C4CED">
        <w:t xml:space="preserve">ir </w:t>
      </w:r>
      <w:r>
        <w:t>pritvirtinimo sistema turi būti patikslinta pagal pasirinktą sistemą.</w:t>
      </w:r>
    </w:p>
    <w:p w:rsidR="0075774E" w:rsidRDefault="0075774E" w:rsidP="003D5EB3">
      <w:pPr>
        <w:ind w:left="180" w:right="126" w:firstLine="450"/>
        <w:jc w:val="both"/>
      </w:pPr>
    </w:p>
    <w:p w:rsidR="00CE72D5" w:rsidRDefault="0075774E" w:rsidP="0075774E">
      <w:pPr>
        <w:ind w:left="142" w:right="180" w:firstLine="425"/>
        <w:jc w:val="both"/>
      </w:pPr>
      <w:r>
        <w:t xml:space="preserve"> Hidroizoliacinė</w:t>
      </w:r>
      <w:r w:rsidRPr="00F029E6">
        <w:t xml:space="preserve"> dang</w:t>
      </w:r>
      <w:r>
        <w:t>a</w:t>
      </w:r>
      <w:r w:rsidRPr="00F029E6">
        <w:t xml:space="preserve"> </w:t>
      </w:r>
      <w:r w:rsidR="008F755D">
        <w:t xml:space="preserve">montuojama griežtai laikantis </w:t>
      </w:r>
      <w:r>
        <w:t>gamintojo instruk</w:t>
      </w:r>
      <w:r w:rsidR="001502ED">
        <w:t xml:space="preserve">cijų. </w:t>
      </w:r>
      <w:r w:rsidR="00CE72D5">
        <w:t xml:space="preserve">Atliekant </w:t>
      </w:r>
      <w:r w:rsidR="00515319">
        <w:t>PROTAN</w:t>
      </w:r>
      <w:r w:rsidR="00CE72D5">
        <w:t xml:space="preserve"> montavimo darbus turi būti: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a</w:t>
      </w:r>
      <w:r w:rsidR="00CE72D5">
        <w:t>tliekama dangos apžiūra, išlyginamas ir išvalomas paviršius;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p</w:t>
      </w:r>
      <w:r w:rsidR="00CE72D5">
        <w:t xml:space="preserve">aklojamas </w:t>
      </w:r>
      <w:r w:rsidR="008F755D">
        <w:t>pasirinktas</w:t>
      </w:r>
      <w:r w:rsidR="00CE72D5">
        <w:t xml:space="preserve"> garų barjero sluoksnis;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p</w:t>
      </w:r>
      <w:r w:rsidR="004E2486">
        <w:t>aklojama</w:t>
      </w:r>
      <w:r w:rsidR="00CE72D5">
        <w:t xml:space="preserve"> šiluminė izoliacija (paprastai du sluoksniai, su persidengimais);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š</w:t>
      </w:r>
      <w:r w:rsidR="00CE72D5">
        <w:t>iluminė izoliacija tvirtinama prie paviršiaus;</w:t>
      </w:r>
    </w:p>
    <w:p w:rsidR="00CE72D5" w:rsidRDefault="009A0FB2" w:rsidP="00CE72D5">
      <w:pPr>
        <w:pStyle w:val="Sraopastraipa"/>
        <w:numPr>
          <w:ilvl w:val="0"/>
          <w:numId w:val="42"/>
        </w:numPr>
        <w:ind w:right="180"/>
        <w:jc w:val="both"/>
      </w:pPr>
      <w:r>
        <w:t xml:space="preserve">hidroizoliacinę dangą klojant ant polistireninio putplasčio, betoninių plokščių, medžio plaušo ar drožlių plokšių, papildomai turi būti </w:t>
      </w:r>
      <w:r w:rsidR="008C4CED">
        <w:t>p</w:t>
      </w:r>
      <w:r w:rsidR="00CE72D5">
        <w:t>aklojam</w:t>
      </w:r>
      <w:r>
        <w:t>as</w:t>
      </w:r>
      <w:r w:rsidR="00CE72D5">
        <w:t xml:space="preserve"> apsauginis</w:t>
      </w:r>
      <w:r>
        <w:t>-</w:t>
      </w:r>
      <w:r w:rsidR="00CE72D5">
        <w:t>atskiriamasis sluoksni</w:t>
      </w:r>
      <w:r>
        <w:t>s</w:t>
      </w:r>
      <w:r w:rsidR="00CE72D5">
        <w:t xml:space="preserve"> iš  </w:t>
      </w:r>
      <w:r>
        <w:t>geo</w:t>
      </w:r>
      <w:r w:rsidR="00CE72D5">
        <w:t>tekstilės</w:t>
      </w:r>
      <w:r>
        <w:t>, minimalus tankis 120 g/m</w:t>
      </w:r>
      <w:r w:rsidRPr="009A0FB2">
        <w:rPr>
          <w:vertAlign w:val="superscript"/>
        </w:rPr>
        <w:t>2</w:t>
      </w:r>
      <w:r>
        <w:t>;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d</w:t>
      </w:r>
      <w:r w:rsidR="00CE72D5">
        <w:t>engiamu perimetru įrengiami plastiku dengti metaliniai profiliai;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p</w:t>
      </w:r>
      <w:r w:rsidR="00CE72D5">
        <w:t>aklojamas hidroizoliacinė membrana;</w:t>
      </w:r>
    </w:p>
    <w:p w:rsidR="00CE72D5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h</w:t>
      </w:r>
      <w:r w:rsidR="00CE72D5">
        <w:t xml:space="preserve">idroizoliacinė membrana yra </w:t>
      </w:r>
      <w:r w:rsidR="00BB162D">
        <w:t xml:space="preserve">sutvirtinama mechaniškai, arba </w:t>
      </w:r>
      <w:r w:rsidR="009A0FB2">
        <w:t>k</w:t>
      </w:r>
      <w:r w:rsidR="00BB162D">
        <w:t>li</w:t>
      </w:r>
      <w:r w:rsidR="009A0FB2">
        <w:t>j</w:t>
      </w:r>
      <w:r w:rsidR="00BB162D">
        <w:t>uojama;</w:t>
      </w:r>
    </w:p>
    <w:p w:rsidR="00BB162D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u</w:t>
      </w:r>
      <w:r w:rsidR="00BB162D">
        <w:t>žsandarinami hidroizoliacinės membranos persiklojimai (karšto oro srove</w:t>
      </w:r>
      <w:r w:rsidR="009A0FB2">
        <w:t xml:space="preserve"> ir</w:t>
      </w:r>
      <w:r w:rsidR="00BB162D">
        <w:t xml:space="preserve"> prispaudžiamuoju v</w:t>
      </w:r>
      <w:r>
        <w:t>oleliu</w:t>
      </w:r>
      <w:r w:rsidR="00BB162D">
        <w:t>)</w:t>
      </w:r>
    </w:p>
    <w:p w:rsidR="00BB162D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h</w:t>
      </w:r>
      <w:r w:rsidR="00BB162D">
        <w:t>idroizoliacine membrana padengiami stogo išsikišimai</w:t>
      </w:r>
      <w:r w:rsidR="004E2486">
        <w:t xml:space="preserve"> (kaminėliai, ventiliacinės angos)</w:t>
      </w:r>
      <w:r w:rsidR="00BB162D">
        <w:t>;</w:t>
      </w:r>
    </w:p>
    <w:p w:rsidR="00BB162D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p</w:t>
      </w:r>
      <w:r w:rsidR="00BB162D">
        <w:t>ersiklojimo siūlės ir tvirtinimo jungtys padengiamos hermetiku;</w:t>
      </w:r>
    </w:p>
    <w:p w:rsidR="00BB162D" w:rsidRDefault="008C4CED" w:rsidP="00CE72D5">
      <w:pPr>
        <w:pStyle w:val="Sraopastraipa"/>
        <w:numPr>
          <w:ilvl w:val="0"/>
          <w:numId w:val="42"/>
        </w:numPr>
        <w:ind w:right="180"/>
        <w:jc w:val="both"/>
      </w:pPr>
      <w:r>
        <w:t>s</w:t>
      </w:r>
      <w:r w:rsidR="00BB162D">
        <w:t>togo atbrailos ir detal</w:t>
      </w:r>
      <w:r w:rsidR="008F755D">
        <w:t>ė</w:t>
      </w:r>
      <w:r w:rsidR="00BB162D">
        <w:t>s užsandarinam</w:t>
      </w:r>
      <w:r w:rsidR="008F755D">
        <w:t>os</w:t>
      </w:r>
      <w:r w:rsidR="00BB162D">
        <w:t xml:space="preserve"> poliuretano (PU) hermetiku.</w:t>
      </w:r>
    </w:p>
    <w:p w:rsidR="00642E32" w:rsidRDefault="00642E32" w:rsidP="00642E32">
      <w:pPr>
        <w:ind w:right="180"/>
        <w:jc w:val="both"/>
      </w:pPr>
    </w:p>
    <w:p w:rsidR="00642E32" w:rsidRDefault="00642E32" w:rsidP="00642E32">
      <w:pPr>
        <w:pStyle w:val="Pagrindinistekstas2"/>
        <w:ind w:left="142" w:right="180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>Plokščio stogo, hidroizoliacinės membranos tvirtinimo priemonės ir būdai turi būti parinkti pagal</w:t>
      </w:r>
      <w:r w:rsidRPr="00886BF3">
        <w:rPr>
          <w:rFonts w:ascii="Times New Roman" w:hAnsi="Times New Roman"/>
        </w:rPr>
        <w:t xml:space="preserve"> </w:t>
      </w:r>
      <w:r w:rsidR="00515319">
        <w:rPr>
          <w:rFonts w:ascii="Times New Roman" w:hAnsi="Times New Roman"/>
        </w:rPr>
        <w:t>Euro</w:t>
      </w:r>
      <w:r w:rsidR="00475BFB">
        <w:rPr>
          <w:rFonts w:ascii="Times New Roman" w:hAnsi="Times New Roman"/>
        </w:rPr>
        <w:t>po</w:t>
      </w:r>
      <w:r w:rsidR="00515319">
        <w:rPr>
          <w:rFonts w:ascii="Times New Roman" w:hAnsi="Times New Roman"/>
        </w:rPr>
        <w:t xml:space="preserve">s Techninio Liudijimo </w:t>
      </w:r>
      <w:r>
        <w:rPr>
          <w:rFonts w:ascii="Times New Roman" w:hAnsi="Times New Roman"/>
          <w:szCs w:val="24"/>
        </w:rPr>
        <w:t>reikalavimus. Atlikti darbai tikrinami ir bandomi pagal EN 1593(A1) reikalavimus.</w:t>
      </w:r>
    </w:p>
    <w:p w:rsidR="00642E32" w:rsidRPr="00D625A1" w:rsidRDefault="00642E32" w:rsidP="00642E32">
      <w:pPr>
        <w:pStyle w:val="Pagrindinistekstas2"/>
        <w:ind w:left="142" w:right="180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PVC stogo danga</w:t>
      </w:r>
      <w:r w:rsidRPr="00D625A1">
        <w:rPr>
          <w:rFonts w:ascii="Times New Roman" w:hAnsi="Times New Roman"/>
          <w:szCs w:val="24"/>
        </w:rPr>
        <w:t xml:space="preserve"> yra montuojama, j</w:t>
      </w:r>
      <w:r>
        <w:rPr>
          <w:rFonts w:ascii="Times New Roman" w:hAnsi="Times New Roman"/>
          <w:szCs w:val="24"/>
        </w:rPr>
        <w:t>ą</w:t>
      </w:r>
      <w:r w:rsidRPr="00D625A1">
        <w:rPr>
          <w:rFonts w:ascii="Times New Roman" w:hAnsi="Times New Roman"/>
          <w:szCs w:val="24"/>
        </w:rPr>
        <w:t xml:space="preserve"> laisvai paklojant ir mechaniškai pritvirtinant ties siūlių persidengimais. Persidengiančios siūlės </w:t>
      </w:r>
      <w:r w:rsidR="004E2486">
        <w:rPr>
          <w:rFonts w:ascii="Times New Roman" w:hAnsi="Times New Roman"/>
          <w:szCs w:val="24"/>
        </w:rPr>
        <w:t>užsandarinamos</w:t>
      </w:r>
      <w:r w:rsidRPr="00D625A1">
        <w:rPr>
          <w:rFonts w:ascii="Times New Roman" w:hAnsi="Times New Roman"/>
          <w:szCs w:val="24"/>
        </w:rPr>
        <w:t xml:space="preserve">, naudojant </w:t>
      </w:r>
      <w:r w:rsidR="004E2486">
        <w:rPr>
          <w:rFonts w:ascii="Times New Roman" w:hAnsi="Times New Roman"/>
          <w:szCs w:val="24"/>
        </w:rPr>
        <w:t>karšto oro srovės</w:t>
      </w:r>
      <w:r w:rsidRPr="00D625A1">
        <w:rPr>
          <w:rFonts w:ascii="Times New Roman" w:hAnsi="Times New Roman"/>
          <w:szCs w:val="24"/>
        </w:rPr>
        <w:t xml:space="preserve"> įrangą, pavyzdžiui, rankinius </w:t>
      </w:r>
      <w:r w:rsidR="00A45B1C">
        <w:rPr>
          <w:rFonts w:ascii="Times New Roman" w:hAnsi="Times New Roman"/>
          <w:szCs w:val="24"/>
        </w:rPr>
        <w:t>sandarinimo karšto</w:t>
      </w:r>
      <w:r w:rsidRPr="00D625A1">
        <w:rPr>
          <w:rFonts w:ascii="Times New Roman" w:hAnsi="Times New Roman"/>
          <w:szCs w:val="24"/>
        </w:rPr>
        <w:t xml:space="preserve"> or</w:t>
      </w:r>
      <w:r w:rsidR="00A45B1C">
        <w:rPr>
          <w:rFonts w:ascii="Times New Roman" w:hAnsi="Times New Roman"/>
          <w:szCs w:val="24"/>
        </w:rPr>
        <w:t>o srove</w:t>
      </w:r>
      <w:r w:rsidRPr="00D625A1">
        <w:rPr>
          <w:rFonts w:ascii="Times New Roman" w:hAnsi="Times New Roman"/>
          <w:szCs w:val="24"/>
        </w:rPr>
        <w:t xml:space="preserve"> įrankius ir prispaudžiamuosius v</w:t>
      </w:r>
      <w:r w:rsidR="008C4CED">
        <w:rPr>
          <w:rFonts w:ascii="Times New Roman" w:hAnsi="Times New Roman"/>
          <w:szCs w:val="24"/>
        </w:rPr>
        <w:t>olelius</w:t>
      </w:r>
      <w:r w:rsidR="00CA279C">
        <w:rPr>
          <w:rFonts w:ascii="Times New Roman" w:hAnsi="Times New Roman"/>
          <w:szCs w:val="24"/>
        </w:rPr>
        <w:t>,</w:t>
      </w:r>
      <w:r w:rsidRPr="00D625A1">
        <w:rPr>
          <w:rFonts w:ascii="Times New Roman" w:hAnsi="Times New Roman"/>
          <w:szCs w:val="24"/>
        </w:rPr>
        <w:t xml:space="preserve"> arba automatinius </w:t>
      </w:r>
      <w:r w:rsidR="00A45B1C">
        <w:rPr>
          <w:rFonts w:ascii="Times New Roman" w:hAnsi="Times New Roman"/>
          <w:szCs w:val="24"/>
        </w:rPr>
        <w:t>sandarinimo karšto</w:t>
      </w:r>
      <w:r w:rsidR="00A45B1C" w:rsidRPr="00D625A1">
        <w:rPr>
          <w:rFonts w:ascii="Times New Roman" w:hAnsi="Times New Roman"/>
          <w:szCs w:val="24"/>
        </w:rPr>
        <w:t xml:space="preserve"> or</w:t>
      </w:r>
      <w:r w:rsidR="00A45B1C">
        <w:rPr>
          <w:rFonts w:ascii="Times New Roman" w:hAnsi="Times New Roman"/>
          <w:szCs w:val="24"/>
        </w:rPr>
        <w:t xml:space="preserve">o srove </w:t>
      </w:r>
      <w:r w:rsidRPr="00D625A1">
        <w:rPr>
          <w:rFonts w:ascii="Times New Roman" w:hAnsi="Times New Roman"/>
          <w:szCs w:val="24"/>
        </w:rPr>
        <w:t xml:space="preserve">įrankius su kontroliuojama karšto oro temperatūra, kuri turi būti ne žemesnė kaip 600 </w:t>
      </w:r>
      <w:r w:rsidRPr="00D625A1">
        <w:rPr>
          <w:rFonts w:ascii="Times New Roman" w:hAnsi="Times New Roman"/>
          <w:szCs w:val="24"/>
          <w:vertAlign w:val="superscript"/>
        </w:rPr>
        <w:t>o</w:t>
      </w:r>
      <w:r w:rsidR="00475BFB">
        <w:rPr>
          <w:rFonts w:ascii="Times New Roman" w:hAnsi="Times New Roman"/>
          <w:szCs w:val="24"/>
          <w:vertAlign w:val="superscript"/>
        </w:rPr>
        <w:t xml:space="preserve"> </w:t>
      </w:r>
      <w:r w:rsidRPr="00D625A1">
        <w:rPr>
          <w:rFonts w:ascii="Times New Roman" w:hAnsi="Times New Roman"/>
          <w:szCs w:val="24"/>
        </w:rPr>
        <w:t>C.</w:t>
      </w:r>
      <w:r>
        <w:rPr>
          <w:rFonts w:ascii="Times New Roman" w:hAnsi="Times New Roman"/>
          <w:szCs w:val="24"/>
        </w:rPr>
        <w:t xml:space="preserve"> </w:t>
      </w:r>
      <w:r w:rsidRPr="00D625A1">
        <w:rPr>
          <w:rFonts w:ascii="Times New Roman" w:hAnsi="Times New Roman"/>
          <w:szCs w:val="24"/>
        </w:rPr>
        <w:t xml:space="preserve">Suvirintų persidengimų efektyvus plotis turi būti ne mažesnis kaip </w:t>
      </w:r>
      <w:r>
        <w:rPr>
          <w:rFonts w:ascii="Times New Roman" w:hAnsi="Times New Roman"/>
          <w:szCs w:val="24"/>
        </w:rPr>
        <w:t>50</w:t>
      </w:r>
      <w:r w:rsidRPr="00D625A1">
        <w:rPr>
          <w:rFonts w:ascii="Times New Roman" w:hAnsi="Times New Roman"/>
          <w:szCs w:val="24"/>
        </w:rPr>
        <w:t xml:space="preserve"> mm</w:t>
      </w:r>
      <w:r>
        <w:rPr>
          <w:rFonts w:ascii="Times New Roman" w:hAnsi="Times New Roman"/>
          <w:szCs w:val="24"/>
        </w:rPr>
        <w:t xml:space="preserve"> ir ne didesnis kaip 90</w:t>
      </w:r>
      <w:r w:rsidR="009A25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mm</w:t>
      </w:r>
      <w:r w:rsidRPr="00D625A1">
        <w:rPr>
          <w:rFonts w:ascii="Times New Roman" w:hAnsi="Times New Roman"/>
          <w:szCs w:val="24"/>
        </w:rPr>
        <w:t xml:space="preserve">. Siūles reikia mechaniškai patikrinti, tam panaudojant atsuktuvą ar plieninę adatą ir įsitikinant, kad </w:t>
      </w:r>
      <w:r w:rsidR="00CA279C">
        <w:rPr>
          <w:rFonts w:ascii="Times New Roman" w:hAnsi="Times New Roman"/>
          <w:szCs w:val="24"/>
        </w:rPr>
        <w:t>sandarinimo</w:t>
      </w:r>
      <w:r w:rsidRPr="00D625A1">
        <w:rPr>
          <w:rFonts w:ascii="Times New Roman" w:hAnsi="Times New Roman"/>
          <w:szCs w:val="24"/>
        </w:rPr>
        <w:t xml:space="preserve"> siūlė yra </w:t>
      </w:r>
      <w:r w:rsidR="00CA279C">
        <w:rPr>
          <w:rFonts w:ascii="Times New Roman" w:hAnsi="Times New Roman"/>
          <w:szCs w:val="24"/>
        </w:rPr>
        <w:t>vientisa, be oro tarpų</w:t>
      </w:r>
      <w:r w:rsidRPr="00D625A1">
        <w:rPr>
          <w:rFonts w:ascii="Times New Roman" w:hAnsi="Times New Roman"/>
          <w:szCs w:val="24"/>
        </w:rPr>
        <w:t>. Trūkumus reikia pašalinti, naudojant karštu or</w:t>
      </w:r>
      <w:r w:rsidR="001502ED">
        <w:rPr>
          <w:rFonts w:ascii="Times New Roman" w:hAnsi="Times New Roman"/>
          <w:szCs w:val="24"/>
        </w:rPr>
        <w:t>o srovės sandarinimą</w:t>
      </w:r>
      <w:r w:rsidRPr="00D625A1">
        <w:rPr>
          <w:rFonts w:ascii="Times New Roman" w:hAnsi="Times New Roman"/>
          <w:szCs w:val="24"/>
        </w:rPr>
        <w:t xml:space="preserve">.  </w:t>
      </w:r>
    </w:p>
    <w:p w:rsidR="001A33CA" w:rsidRDefault="00CE72D5" w:rsidP="00226344">
      <w:pPr>
        <w:ind w:left="180" w:right="126" w:firstLine="450"/>
        <w:jc w:val="both"/>
      </w:pPr>
      <w:r>
        <w:t xml:space="preserve">Hidroizoliacinė </w:t>
      </w:r>
      <w:r w:rsidR="00515319">
        <w:t>PROTAN SE</w:t>
      </w:r>
      <w:r>
        <w:t xml:space="preserve"> gali būti </w:t>
      </w:r>
      <w:r w:rsidRPr="00642E32">
        <w:t xml:space="preserve">montuojamas ne žemesnėje kaip -5 </w:t>
      </w:r>
      <w:r w:rsidRPr="00642E32">
        <w:rPr>
          <w:vertAlign w:val="superscript"/>
        </w:rPr>
        <w:t>o</w:t>
      </w:r>
      <w:r w:rsidRPr="00642E32">
        <w:t>C temperatūroje. Esant</w:t>
      </w:r>
      <w:r w:rsidR="004E2486">
        <w:t xml:space="preserve"> </w:t>
      </w:r>
      <w:r w:rsidRPr="00642E32">
        <w:t xml:space="preserve">žemesnei </w:t>
      </w:r>
      <w:r w:rsidR="009A2580">
        <w:t>kaip</w:t>
      </w:r>
      <w:r w:rsidRPr="00642E32">
        <w:t xml:space="preserve"> +5</w:t>
      </w:r>
      <w:r w:rsidRPr="00642E32">
        <w:rPr>
          <w:vertAlign w:val="superscript"/>
        </w:rPr>
        <w:t xml:space="preserve"> o</w:t>
      </w:r>
      <w:r w:rsidRPr="00642E32">
        <w:t>C temperatūrai</w:t>
      </w:r>
      <w:r w:rsidR="00901CF8">
        <w:t>,</w:t>
      </w:r>
      <w:r w:rsidRPr="00642E32">
        <w:t xml:space="preserve"> prieš montavimą</w:t>
      </w:r>
      <w:r>
        <w:t xml:space="preserve"> hidroizoliacinė membrana turi būti laikoma</w:t>
      </w:r>
      <w:r w:rsidR="0049636D">
        <w:t xml:space="preserve"> ir</w:t>
      </w:r>
      <w:r>
        <w:t xml:space="preserve"> išpakuojama kambario </w:t>
      </w:r>
      <w:r w:rsidR="004E2486">
        <w:t>temperatūros patalpoje netoli nuo įrengimo vietos</w:t>
      </w:r>
      <w:r>
        <w:t xml:space="preserve">. Montavimo darbai negali būti atliekami esant lietui, sniegui, šalčiui ar stipriam vėjui. </w:t>
      </w:r>
    </w:p>
    <w:p w:rsidR="00226344" w:rsidRPr="009E1FFD" w:rsidRDefault="00F24397" w:rsidP="00226344">
      <w:pPr>
        <w:ind w:left="180" w:right="126" w:firstLine="450"/>
        <w:jc w:val="both"/>
      </w:pPr>
      <w:r>
        <w:t xml:space="preserve"> </w:t>
      </w:r>
    </w:p>
    <w:p w:rsidR="001A3EF4" w:rsidRPr="00CA2098" w:rsidRDefault="008810A1" w:rsidP="001A3EF4">
      <w:pPr>
        <w:ind w:left="180" w:right="126"/>
        <w:jc w:val="center"/>
      </w:pPr>
      <w:r>
        <w:rPr>
          <w:b/>
        </w:rPr>
        <w:t>SA</w:t>
      </w:r>
      <w:r w:rsidR="001A3EF4" w:rsidRPr="00CA2098">
        <w:rPr>
          <w:b/>
        </w:rPr>
        <w:t>NAUDŲ ŽINIARAŠTIS</w:t>
      </w:r>
    </w:p>
    <w:p w:rsidR="00226E92" w:rsidRPr="00CA2098" w:rsidRDefault="00226E92" w:rsidP="00226E92">
      <w:pPr>
        <w:ind w:left="180" w:right="126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62"/>
        <w:gridCol w:w="1842"/>
        <w:gridCol w:w="880"/>
        <w:gridCol w:w="850"/>
        <w:gridCol w:w="1276"/>
      </w:tblGrid>
      <w:tr w:rsidR="008C6F87" w:rsidRPr="00CA2098" w:rsidTr="00475BFB">
        <w:trPr>
          <w:trHeight w:val="623"/>
        </w:trPr>
        <w:tc>
          <w:tcPr>
            <w:tcW w:w="900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0"/>
              </w:rPr>
            </w:pPr>
            <w:r w:rsidRPr="00CA2098">
              <w:rPr>
                <w:b/>
                <w:sz w:val="20"/>
              </w:rPr>
              <w:t xml:space="preserve">Pozicija </w:t>
            </w:r>
            <w:proofErr w:type="spellStart"/>
            <w:r w:rsidRPr="00CA2098">
              <w:rPr>
                <w:b/>
                <w:sz w:val="20"/>
              </w:rPr>
              <w:t>Eil.Nr</w:t>
            </w:r>
            <w:proofErr w:type="spellEnd"/>
            <w:r w:rsidRPr="00CA2098">
              <w:rPr>
                <w:b/>
                <w:sz w:val="20"/>
              </w:rPr>
              <w:t>.</w:t>
            </w:r>
          </w:p>
        </w:tc>
        <w:tc>
          <w:tcPr>
            <w:tcW w:w="4062" w:type="dxa"/>
            <w:vAlign w:val="center"/>
          </w:tcPr>
          <w:p w:rsidR="008C6F87" w:rsidRPr="00CA2098" w:rsidRDefault="008C6F87" w:rsidP="00AE0DA6">
            <w:pPr>
              <w:pStyle w:val="Antrat4"/>
            </w:pPr>
            <w:r w:rsidRPr="00CA2098">
              <w:t>Pavadinimas, techninės charakteristikos</w:t>
            </w:r>
          </w:p>
        </w:tc>
        <w:tc>
          <w:tcPr>
            <w:tcW w:w="1842" w:type="dxa"/>
            <w:vAlign w:val="center"/>
          </w:tcPr>
          <w:p w:rsidR="008C6F87" w:rsidRPr="00CA2098" w:rsidRDefault="008C6F87" w:rsidP="00AE0DA6">
            <w:pPr>
              <w:pStyle w:val="numeracija"/>
              <w:spacing w:line="240" w:lineRule="auto"/>
              <w:rPr>
                <w:bCs w:val="0"/>
                <w:sz w:val="22"/>
              </w:rPr>
            </w:pPr>
            <w:r w:rsidRPr="00CA2098">
              <w:rPr>
                <w:bCs w:val="0"/>
                <w:sz w:val="22"/>
              </w:rPr>
              <w:t>Nuorodos</w:t>
            </w:r>
          </w:p>
        </w:tc>
        <w:tc>
          <w:tcPr>
            <w:tcW w:w="880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2"/>
              </w:rPr>
            </w:pPr>
            <w:r w:rsidRPr="00CA2098">
              <w:rPr>
                <w:b/>
                <w:sz w:val="22"/>
              </w:rPr>
              <w:t>Mato vnt.</w:t>
            </w:r>
          </w:p>
        </w:tc>
        <w:tc>
          <w:tcPr>
            <w:tcW w:w="850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2"/>
              </w:rPr>
            </w:pPr>
            <w:r w:rsidRPr="00CA2098">
              <w:rPr>
                <w:b/>
                <w:sz w:val="22"/>
              </w:rPr>
              <w:t>Kiekis</w:t>
            </w:r>
          </w:p>
        </w:tc>
        <w:tc>
          <w:tcPr>
            <w:tcW w:w="1276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2"/>
              </w:rPr>
            </w:pPr>
            <w:r w:rsidRPr="00CA2098">
              <w:rPr>
                <w:b/>
                <w:sz w:val="22"/>
              </w:rPr>
              <w:t>Papildomi duomenys</w:t>
            </w:r>
          </w:p>
        </w:tc>
      </w:tr>
      <w:tr w:rsidR="005D4865" w:rsidRPr="00CA2098" w:rsidTr="00475BFB">
        <w:trPr>
          <w:trHeight w:val="196"/>
        </w:trPr>
        <w:tc>
          <w:tcPr>
            <w:tcW w:w="900" w:type="dxa"/>
            <w:vAlign w:val="center"/>
          </w:tcPr>
          <w:p w:rsidR="005D4865" w:rsidRPr="00CA2098" w:rsidRDefault="005D4865" w:rsidP="000847F7">
            <w:pPr>
              <w:spacing w:line="360" w:lineRule="auto"/>
              <w:jc w:val="center"/>
            </w:pPr>
          </w:p>
        </w:tc>
        <w:tc>
          <w:tcPr>
            <w:tcW w:w="4062" w:type="dxa"/>
            <w:vAlign w:val="center"/>
          </w:tcPr>
          <w:p w:rsidR="005D4865" w:rsidRPr="006E69C7" w:rsidRDefault="00461F48" w:rsidP="00515319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Polivinichlorido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E69C7" w:rsidRPr="006E69C7">
              <w:rPr>
                <w:sz w:val="20"/>
                <w:szCs w:val="20"/>
              </w:rPr>
              <w:t xml:space="preserve">PVC hidroizoliacinė stogo membrana </w:t>
            </w:r>
            <w:r w:rsidR="00515319">
              <w:rPr>
                <w:sz w:val="20"/>
                <w:szCs w:val="20"/>
              </w:rPr>
              <w:t>PROTAN SE</w:t>
            </w:r>
            <w:r w:rsidR="006E69C7" w:rsidRPr="006E69C7">
              <w:rPr>
                <w:sz w:val="20"/>
                <w:szCs w:val="20"/>
              </w:rPr>
              <w:t>, EN 13956, storis 1,</w:t>
            </w:r>
            <w:r w:rsidR="00515319">
              <w:rPr>
                <w:sz w:val="20"/>
                <w:szCs w:val="20"/>
              </w:rPr>
              <w:t>6</w:t>
            </w:r>
            <w:r w:rsidR="006E69C7" w:rsidRPr="006E69C7"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842" w:type="dxa"/>
            <w:vAlign w:val="center"/>
          </w:tcPr>
          <w:p w:rsidR="0040316D" w:rsidRPr="006E69C7" w:rsidRDefault="00515319" w:rsidP="008C4CED">
            <w:pPr>
              <w:pStyle w:val="normalIIrau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PROTAN SE </w:t>
            </w:r>
            <w:r w:rsidR="0040316D" w:rsidRPr="006E69C7">
              <w:rPr>
                <w:sz w:val="20"/>
                <w:szCs w:val="20"/>
              </w:rPr>
              <w:t>arba alternatyv</w:t>
            </w:r>
            <w:r w:rsidR="008C4CED">
              <w:rPr>
                <w:sz w:val="20"/>
                <w:szCs w:val="20"/>
              </w:rPr>
              <w:t>i</w:t>
            </w:r>
          </w:p>
        </w:tc>
        <w:tc>
          <w:tcPr>
            <w:tcW w:w="880" w:type="dxa"/>
            <w:vAlign w:val="center"/>
          </w:tcPr>
          <w:p w:rsidR="005D4865" w:rsidRPr="006E69C7" w:rsidRDefault="005D4865" w:rsidP="004301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E69C7">
              <w:rPr>
                <w:sz w:val="20"/>
                <w:szCs w:val="20"/>
              </w:rPr>
              <w:t>m</w:t>
            </w:r>
            <w:r w:rsidRPr="006E69C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5D4865" w:rsidRPr="00CA2098" w:rsidRDefault="005D4865" w:rsidP="000847F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D4865" w:rsidRPr="00CA2098" w:rsidRDefault="005D4865" w:rsidP="000847F7">
            <w:pPr>
              <w:spacing w:line="360" w:lineRule="auto"/>
            </w:pPr>
          </w:p>
        </w:tc>
      </w:tr>
    </w:tbl>
    <w:p w:rsidR="00386073" w:rsidRDefault="00386073" w:rsidP="005369E5">
      <w:pPr>
        <w:ind w:right="126"/>
        <w:rPr>
          <w:b/>
        </w:rPr>
      </w:pPr>
    </w:p>
    <w:p w:rsidR="00475BFB" w:rsidRDefault="00475BFB" w:rsidP="005369E5">
      <w:pPr>
        <w:ind w:right="126"/>
        <w:rPr>
          <w:b/>
        </w:rPr>
      </w:pPr>
    </w:p>
    <w:sectPr w:rsidR="00475BFB" w:rsidSect="00693596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567" w:right="708" w:bottom="709" w:left="1134" w:header="567" w:footer="596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pgNumType w:start="1" w:chapStyle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34" w:rsidRDefault="00A61334">
      <w:r>
        <w:separator/>
      </w:r>
    </w:p>
  </w:endnote>
  <w:endnote w:type="continuationSeparator" w:id="0">
    <w:p w:rsidR="00A61334" w:rsidRDefault="00A6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elveticaLT">
    <w:altName w:val="Arial"/>
    <w:charset w:val="BA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F5" w:rsidRDefault="004301F5" w:rsidP="00ED453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301F5" w:rsidRDefault="004301F5" w:rsidP="00B07F94">
    <w:pPr>
      <w:pStyle w:val="Porat"/>
      <w:ind w:right="360"/>
    </w:pPr>
  </w:p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F5" w:rsidRDefault="004301F5" w:rsidP="00B07F94">
    <w:pPr>
      <w:ind w:right="360"/>
      <w:rPr>
        <w:sz w:val="2"/>
      </w:rPr>
    </w:pPr>
  </w:p>
  <w:p w:rsidR="004301F5" w:rsidRDefault="004301F5">
    <w:pPr>
      <w:rPr>
        <w:sz w:val="2"/>
      </w:rPr>
    </w:pPr>
  </w:p>
  <w:p w:rsidR="004301F5" w:rsidRDefault="004301F5" w:rsidP="00515319">
    <w:pPr>
      <w:pStyle w:val="Porat"/>
      <w:framePr w:wrap="around" w:vAnchor="text" w:hAnchor="page" w:x="1856" w:y="575"/>
      <w:rPr>
        <w:rStyle w:val="Puslapionumeris"/>
      </w:rPr>
    </w:pPr>
  </w:p>
  <w:tbl>
    <w:tblPr>
      <w:tblW w:w="10065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510"/>
      <w:gridCol w:w="2160"/>
      <w:gridCol w:w="3686"/>
      <w:gridCol w:w="709"/>
    </w:tblGrid>
    <w:tr w:rsidR="004301F5" w:rsidTr="00693596">
      <w:trPr>
        <w:cantSplit/>
        <w:trHeight w:hRule="exact" w:val="284"/>
      </w:trPr>
      <w:tc>
        <w:tcPr>
          <w:tcW w:w="3510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4301F5" w:rsidRDefault="00515319" w:rsidP="000113FB">
          <w:pPr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2095500" cy="614516"/>
                <wp:effectExtent l="0" t="0" r="0" b="0"/>
                <wp:docPr id="1" name="Paveikslėlis 1" descr="Si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6591" cy="617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4301F5" w:rsidRPr="00CA2098" w:rsidRDefault="004301F5" w:rsidP="005256BC">
          <w:pPr>
            <w:jc w:val="center"/>
            <w:rPr>
              <w:sz w:val="20"/>
              <w:szCs w:val="20"/>
            </w:rPr>
          </w:pPr>
          <w:r w:rsidRPr="00CA2098">
            <w:rPr>
              <w:sz w:val="20"/>
              <w:szCs w:val="20"/>
            </w:rPr>
            <w:t>Rekomendacinė techninė specifikacija projektams</w:t>
          </w:r>
        </w:p>
      </w:tc>
      <w:tc>
        <w:tcPr>
          <w:tcW w:w="3686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4301F5" w:rsidRPr="00CA2098" w:rsidRDefault="00515319" w:rsidP="00CF1F78">
          <w:pPr>
            <w:ind w:left="114" w:firstLine="28"/>
            <w:jc w:val="center"/>
            <w:rPr>
              <w:sz w:val="20"/>
            </w:rPr>
          </w:pPr>
          <w:r>
            <w:rPr>
              <w:sz w:val="20"/>
              <w:szCs w:val="20"/>
            </w:rPr>
            <w:t>PROTAN</w:t>
          </w:r>
          <w:r w:rsidR="00E61371">
            <w:rPr>
              <w:sz w:val="20"/>
              <w:szCs w:val="20"/>
            </w:rPr>
            <w:t xml:space="preserve"> hidroizoliacinė plokščio stogo membrana</w:t>
          </w:r>
        </w:p>
      </w:tc>
      <w:tc>
        <w:tcPr>
          <w:tcW w:w="70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4301F5" w:rsidRPr="00CA2098" w:rsidRDefault="004301F5" w:rsidP="005C7DF4">
          <w:pPr>
            <w:pStyle w:val="Porat"/>
            <w:jc w:val="center"/>
            <w:rPr>
              <w:sz w:val="20"/>
            </w:rPr>
          </w:pPr>
          <w:r w:rsidRPr="00CA2098">
            <w:rPr>
              <w:sz w:val="20"/>
            </w:rPr>
            <w:t>Lapas</w:t>
          </w:r>
        </w:p>
      </w:tc>
    </w:tr>
    <w:tr w:rsidR="004301F5" w:rsidTr="00693596">
      <w:trPr>
        <w:cantSplit/>
        <w:trHeight w:hRule="exact" w:val="580"/>
      </w:trPr>
      <w:tc>
        <w:tcPr>
          <w:tcW w:w="3510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4301F5" w:rsidRDefault="004301F5" w:rsidP="00DA29B3">
          <w:pPr>
            <w:pStyle w:val="Porat"/>
            <w:rPr>
              <w:rFonts w:ascii="Arial" w:hAnsi="Arial" w:cs="Arial"/>
            </w:rPr>
          </w:pPr>
        </w:p>
      </w:tc>
      <w:tc>
        <w:tcPr>
          <w:tcW w:w="2160" w:type="dxa"/>
          <w:vMerge/>
          <w:tcBorders>
            <w:left w:val="nil"/>
            <w:bottom w:val="nil"/>
          </w:tcBorders>
        </w:tcPr>
        <w:p w:rsidR="004301F5" w:rsidRPr="000113FB" w:rsidRDefault="004301F5" w:rsidP="00DA29B3">
          <w:pPr>
            <w:pStyle w:val="Porat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686" w:type="dxa"/>
          <w:vMerge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4301F5" w:rsidRPr="000113FB" w:rsidRDefault="004301F5" w:rsidP="00DA29B3">
          <w:pPr>
            <w:pStyle w:val="Porat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:rsidR="004301F5" w:rsidRPr="000113FB" w:rsidRDefault="00515319" w:rsidP="00515319">
          <w:pPr>
            <w:pStyle w:val="Porat"/>
            <w:jc w:val="center"/>
            <w:rPr>
              <w:rFonts w:ascii="Arial" w:hAnsi="Arial" w:cs="Arial"/>
              <w:sz w:val="20"/>
            </w:rPr>
          </w:pPr>
          <w:r w:rsidRPr="00515319">
            <w:rPr>
              <w:rFonts w:ascii="Arial" w:hAnsi="Arial" w:cs="Arial"/>
              <w:sz w:val="20"/>
            </w:rPr>
            <w:fldChar w:fldCharType="begin"/>
          </w:r>
          <w:r w:rsidRPr="00515319">
            <w:rPr>
              <w:rFonts w:ascii="Arial" w:hAnsi="Arial" w:cs="Arial"/>
              <w:sz w:val="20"/>
            </w:rPr>
            <w:instrText>PAGE   \* MERGEFORMAT</w:instrText>
          </w:r>
          <w:r w:rsidRPr="00515319">
            <w:rPr>
              <w:rFonts w:ascii="Arial" w:hAnsi="Arial" w:cs="Arial"/>
              <w:sz w:val="20"/>
            </w:rPr>
            <w:fldChar w:fldCharType="separate"/>
          </w:r>
          <w:r w:rsidR="00F84267">
            <w:rPr>
              <w:rFonts w:ascii="Arial" w:hAnsi="Arial" w:cs="Arial"/>
              <w:noProof/>
              <w:sz w:val="20"/>
            </w:rPr>
            <w:t>2</w:t>
          </w:r>
          <w:r w:rsidRPr="005153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4301F5" w:rsidRDefault="004301F5">
    <w:pPr>
      <w:tabs>
        <w:tab w:val="left" w:pos="3716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F5" w:rsidRDefault="004301F5" w:rsidP="00DA29B3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tbl>
    <w:tblPr>
      <w:tblW w:w="0" w:type="auto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41"/>
      <w:gridCol w:w="4241"/>
      <w:gridCol w:w="565"/>
      <w:gridCol w:w="565"/>
      <w:gridCol w:w="595"/>
    </w:tblGrid>
    <w:tr w:rsidR="004301F5" w:rsidTr="00DA29B3">
      <w:trPr>
        <w:cantSplit/>
        <w:trHeight w:hRule="exact" w:val="284"/>
      </w:trPr>
      <w:tc>
        <w:tcPr>
          <w:tcW w:w="4241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4301F5" w:rsidRDefault="004301F5" w:rsidP="00465C1B">
          <w:pPr>
            <w:ind w:right="360"/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sz w:val="20"/>
            </w:rPr>
            <w:t xml:space="preserve">UAB Swelbalt </w:t>
          </w:r>
        </w:p>
      </w:tc>
      <w:tc>
        <w:tcPr>
          <w:tcW w:w="424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4301F5" w:rsidRDefault="004301F5" w:rsidP="00DA29B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Tele2 kabelių įvado sandarinimo Roxtec G 4x3 montavimo instrukcija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Lapas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Lapų</w:t>
          </w:r>
        </w:p>
      </w:tc>
      <w:tc>
        <w:tcPr>
          <w:tcW w:w="595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Laida</w:t>
          </w:r>
        </w:p>
      </w:tc>
    </w:tr>
    <w:tr w:rsidR="004301F5" w:rsidTr="00DA29B3">
      <w:trPr>
        <w:cantSplit/>
        <w:trHeight w:hRule="exact" w:val="567"/>
      </w:trPr>
      <w:tc>
        <w:tcPr>
          <w:tcW w:w="4241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4301F5" w:rsidRDefault="004301F5" w:rsidP="00DA29B3">
          <w:pPr>
            <w:pStyle w:val="Porat"/>
            <w:rPr>
              <w:rFonts w:ascii="Arial" w:hAnsi="Arial" w:cs="Arial"/>
            </w:rPr>
          </w:pPr>
        </w:p>
      </w:tc>
      <w:tc>
        <w:tcPr>
          <w:tcW w:w="4241" w:type="dxa"/>
          <w:vMerge/>
          <w:tcBorders>
            <w:left w:val="nil"/>
            <w:bottom w:val="nil"/>
          </w:tcBorders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</w:tcBorders>
          <w:vAlign w:val="center"/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3</w:t>
          </w:r>
        </w:p>
      </w:tc>
      <w:tc>
        <w:tcPr>
          <w:tcW w:w="595" w:type="dxa"/>
          <w:tcBorders>
            <w:bottom w:val="nil"/>
          </w:tcBorders>
          <w:vAlign w:val="center"/>
        </w:tcPr>
        <w:p w:rsidR="004301F5" w:rsidRDefault="004301F5" w:rsidP="00DA29B3">
          <w:pPr>
            <w:pStyle w:val="Porat"/>
            <w:jc w:val="center"/>
            <w:rPr>
              <w:rFonts w:ascii="Arial" w:hAnsi="Arial" w:cs="Arial"/>
              <w:sz w:val="22"/>
            </w:rPr>
          </w:pPr>
        </w:p>
      </w:tc>
    </w:tr>
  </w:tbl>
  <w:p w:rsidR="004301F5" w:rsidRDefault="004301F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34" w:rsidRDefault="00A61334">
      <w:r>
        <w:separator/>
      </w:r>
    </w:p>
  </w:footnote>
  <w:footnote w:type="continuationSeparator" w:id="0">
    <w:p w:rsidR="00A61334" w:rsidRDefault="00A6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094"/>
    <w:multiLevelType w:val="hybridMultilevel"/>
    <w:tmpl w:val="C0368B86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AD56B7"/>
    <w:multiLevelType w:val="hybridMultilevel"/>
    <w:tmpl w:val="F970D794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667AB8"/>
    <w:multiLevelType w:val="hybridMultilevel"/>
    <w:tmpl w:val="C67645E6"/>
    <w:lvl w:ilvl="0" w:tplc="BD5E6A0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26F1"/>
    <w:multiLevelType w:val="hybridMultilevel"/>
    <w:tmpl w:val="566CEDAA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B36118"/>
    <w:multiLevelType w:val="hybridMultilevel"/>
    <w:tmpl w:val="8EB05726"/>
    <w:lvl w:ilvl="0" w:tplc="42647002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420835"/>
    <w:multiLevelType w:val="hybridMultilevel"/>
    <w:tmpl w:val="1A988556"/>
    <w:lvl w:ilvl="0" w:tplc="A150037C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0385A67"/>
    <w:multiLevelType w:val="hybridMultilevel"/>
    <w:tmpl w:val="C32ADBC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076279"/>
    <w:multiLevelType w:val="hybridMultilevel"/>
    <w:tmpl w:val="11C294DA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B67124"/>
    <w:multiLevelType w:val="multilevel"/>
    <w:tmpl w:val="B74ECA2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FA4BFC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35B50"/>
    <w:multiLevelType w:val="hybridMultilevel"/>
    <w:tmpl w:val="C78CFD58"/>
    <w:lvl w:ilvl="0" w:tplc="B01EEB0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1EBA02D0"/>
    <w:multiLevelType w:val="hybridMultilevel"/>
    <w:tmpl w:val="0F5EDE86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46B4AD7"/>
    <w:multiLevelType w:val="hybridMultilevel"/>
    <w:tmpl w:val="5EA673A2"/>
    <w:lvl w:ilvl="0" w:tplc="B5E6E94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C47925"/>
    <w:multiLevelType w:val="hybridMultilevel"/>
    <w:tmpl w:val="1A409198"/>
    <w:lvl w:ilvl="0" w:tplc="E290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9A35DE">
      <w:numFmt w:val="none"/>
      <w:lvlText w:val=""/>
      <w:lvlJc w:val="left"/>
      <w:pPr>
        <w:tabs>
          <w:tab w:val="num" w:pos="360"/>
        </w:tabs>
      </w:pPr>
    </w:lvl>
    <w:lvl w:ilvl="2" w:tplc="FEE64ACC">
      <w:numFmt w:val="none"/>
      <w:lvlText w:val=""/>
      <w:lvlJc w:val="left"/>
      <w:pPr>
        <w:tabs>
          <w:tab w:val="num" w:pos="360"/>
        </w:tabs>
      </w:pPr>
    </w:lvl>
    <w:lvl w:ilvl="3" w:tplc="F4D63CF4">
      <w:numFmt w:val="none"/>
      <w:lvlText w:val=""/>
      <w:lvlJc w:val="left"/>
      <w:pPr>
        <w:tabs>
          <w:tab w:val="num" w:pos="360"/>
        </w:tabs>
      </w:pPr>
    </w:lvl>
    <w:lvl w:ilvl="4" w:tplc="E5AA3474">
      <w:numFmt w:val="none"/>
      <w:lvlText w:val=""/>
      <w:lvlJc w:val="left"/>
      <w:pPr>
        <w:tabs>
          <w:tab w:val="num" w:pos="360"/>
        </w:tabs>
      </w:pPr>
    </w:lvl>
    <w:lvl w:ilvl="5" w:tplc="A3FC65EC">
      <w:numFmt w:val="none"/>
      <w:lvlText w:val=""/>
      <w:lvlJc w:val="left"/>
      <w:pPr>
        <w:tabs>
          <w:tab w:val="num" w:pos="360"/>
        </w:tabs>
      </w:pPr>
    </w:lvl>
    <w:lvl w:ilvl="6" w:tplc="A6BC2170">
      <w:numFmt w:val="none"/>
      <w:lvlText w:val=""/>
      <w:lvlJc w:val="left"/>
      <w:pPr>
        <w:tabs>
          <w:tab w:val="num" w:pos="360"/>
        </w:tabs>
      </w:pPr>
    </w:lvl>
    <w:lvl w:ilvl="7" w:tplc="18609770">
      <w:numFmt w:val="none"/>
      <w:lvlText w:val=""/>
      <w:lvlJc w:val="left"/>
      <w:pPr>
        <w:tabs>
          <w:tab w:val="num" w:pos="360"/>
        </w:tabs>
      </w:pPr>
    </w:lvl>
    <w:lvl w:ilvl="8" w:tplc="2F02E7D4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0630D83"/>
    <w:multiLevelType w:val="hybridMultilevel"/>
    <w:tmpl w:val="2DB4D97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2620A77"/>
    <w:multiLevelType w:val="hybridMultilevel"/>
    <w:tmpl w:val="451EFCBE"/>
    <w:lvl w:ilvl="0" w:tplc="F31E5F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26E563A"/>
    <w:multiLevelType w:val="hybridMultilevel"/>
    <w:tmpl w:val="16AE65D6"/>
    <w:lvl w:ilvl="0" w:tplc="B01EEB0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1740336">
      <w:start w:val="1"/>
      <w:numFmt w:val="lowerLetter"/>
      <w:lvlText w:val="%2a)"/>
      <w:lvlJc w:val="left"/>
      <w:pPr>
        <w:tabs>
          <w:tab w:val="num" w:pos="1439"/>
        </w:tabs>
        <w:ind w:left="180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942159"/>
    <w:multiLevelType w:val="hybridMultilevel"/>
    <w:tmpl w:val="F208A5B8"/>
    <w:lvl w:ilvl="0" w:tplc="7B3873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64128E2"/>
    <w:multiLevelType w:val="hybridMultilevel"/>
    <w:tmpl w:val="0CB28C1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237957"/>
    <w:multiLevelType w:val="hybridMultilevel"/>
    <w:tmpl w:val="BF6292F0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9B221D2"/>
    <w:multiLevelType w:val="hybridMultilevel"/>
    <w:tmpl w:val="6450C948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CF7004F"/>
    <w:multiLevelType w:val="hybridMultilevel"/>
    <w:tmpl w:val="FDA2CAC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C510F1"/>
    <w:multiLevelType w:val="hybridMultilevel"/>
    <w:tmpl w:val="492231FC"/>
    <w:lvl w:ilvl="0" w:tplc="0118534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3915214"/>
    <w:multiLevelType w:val="hybridMultilevel"/>
    <w:tmpl w:val="7BA4E7FA"/>
    <w:lvl w:ilvl="0" w:tplc="0366C93A">
      <w:start w:val="1"/>
      <w:numFmt w:val="decimal"/>
      <w:lvlText w:val="%1)"/>
      <w:lvlJc w:val="left"/>
      <w:pPr>
        <w:tabs>
          <w:tab w:val="num" w:pos="2325"/>
        </w:tabs>
        <w:ind w:left="2325" w:hanging="1245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99D3F86"/>
    <w:multiLevelType w:val="hybridMultilevel"/>
    <w:tmpl w:val="7BCCCB20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B316D2A"/>
    <w:multiLevelType w:val="hybridMultilevel"/>
    <w:tmpl w:val="7E46EAE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E8053DC"/>
    <w:multiLevelType w:val="hybridMultilevel"/>
    <w:tmpl w:val="5D9ED520"/>
    <w:lvl w:ilvl="0" w:tplc="321E35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F4008EB"/>
    <w:multiLevelType w:val="hybridMultilevel"/>
    <w:tmpl w:val="7F3819FA"/>
    <w:lvl w:ilvl="0" w:tplc="EC062CD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4331B"/>
    <w:multiLevelType w:val="hybridMultilevel"/>
    <w:tmpl w:val="9CF2670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4CC5AC8"/>
    <w:multiLevelType w:val="hybridMultilevel"/>
    <w:tmpl w:val="FB32390C"/>
    <w:lvl w:ilvl="0" w:tplc="A150037C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9D459BB"/>
    <w:multiLevelType w:val="hybridMultilevel"/>
    <w:tmpl w:val="3970D4A0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B0A5962"/>
    <w:multiLevelType w:val="hybridMultilevel"/>
    <w:tmpl w:val="B9FEFFA2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005F3C"/>
    <w:multiLevelType w:val="hybridMultilevel"/>
    <w:tmpl w:val="5F442C20"/>
    <w:lvl w:ilvl="0" w:tplc="AF1A1D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94A3E"/>
    <w:multiLevelType w:val="multilevel"/>
    <w:tmpl w:val="8D3C9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A8C51BB"/>
    <w:multiLevelType w:val="hybridMultilevel"/>
    <w:tmpl w:val="B74ECA2C"/>
    <w:lvl w:ilvl="0" w:tplc="7B3873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BB30737"/>
    <w:multiLevelType w:val="hybridMultilevel"/>
    <w:tmpl w:val="C846BBEA"/>
    <w:lvl w:ilvl="0" w:tplc="DF321B1E">
      <w:start w:val="10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8E4165"/>
    <w:multiLevelType w:val="hybridMultilevel"/>
    <w:tmpl w:val="D3807370"/>
    <w:lvl w:ilvl="0" w:tplc="E548A9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37FE"/>
    <w:multiLevelType w:val="hybridMultilevel"/>
    <w:tmpl w:val="880812BE"/>
    <w:lvl w:ilvl="0" w:tplc="A150037C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 w15:restartNumberingAfterBreak="0">
    <w:nsid w:val="748F6688"/>
    <w:multiLevelType w:val="hybridMultilevel"/>
    <w:tmpl w:val="B04A804E"/>
    <w:lvl w:ilvl="0" w:tplc="3D1A61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80E9B"/>
    <w:multiLevelType w:val="hybridMultilevel"/>
    <w:tmpl w:val="A0545CA8"/>
    <w:lvl w:ilvl="0" w:tplc="A150037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03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953EA5"/>
    <w:multiLevelType w:val="hybridMultilevel"/>
    <w:tmpl w:val="0B58AAEE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287FB9"/>
    <w:multiLevelType w:val="hybridMultilevel"/>
    <w:tmpl w:val="3EB4DDEC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5"/>
  </w:num>
  <w:num w:numId="4">
    <w:abstractNumId w:val="29"/>
  </w:num>
  <w:num w:numId="5">
    <w:abstractNumId w:val="37"/>
  </w:num>
  <w:num w:numId="6">
    <w:abstractNumId w:val="30"/>
  </w:num>
  <w:num w:numId="7">
    <w:abstractNumId w:val="25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24"/>
  </w:num>
  <w:num w:numId="14">
    <w:abstractNumId w:val="11"/>
  </w:num>
  <w:num w:numId="15">
    <w:abstractNumId w:val="31"/>
  </w:num>
  <w:num w:numId="16">
    <w:abstractNumId w:val="21"/>
  </w:num>
  <w:num w:numId="17">
    <w:abstractNumId w:val="41"/>
  </w:num>
  <w:num w:numId="18">
    <w:abstractNumId w:val="18"/>
  </w:num>
  <w:num w:numId="19">
    <w:abstractNumId w:val="10"/>
  </w:num>
  <w:num w:numId="20">
    <w:abstractNumId w:val="14"/>
  </w:num>
  <w:num w:numId="21">
    <w:abstractNumId w:val="20"/>
  </w:num>
  <w:num w:numId="22">
    <w:abstractNumId w:val="28"/>
  </w:num>
  <w:num w:numId="23">
    <w:abstractNumId w:val="34"/>
  </w:num>
  <w:num w:numId="24">
    <w:abstractNumId w:val="8"/>
  </w:num>
  <w:num w:numId="25">
    <w:abstractNumId w:val="17"/>
  </w:num>
  <w:num w:numId="26">
    <w:abstractNumId w:val="26"/>
  </w:num>
  <w:num w:numId="27">
    <w:abstractNumId w:val="38"/>
  </w:num>
  <w:num w:numId="28">
    <w:abstractNumId w:val="27"/>
  </w:num>
  <w:num w:numId="29">
    <w:abstractNumId w:val="32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3"/>
  </w:num>
  <w:num w:numId="33">
    <w:abstractNumId w:val="4"/>
  </w:num>
  <w:num w:numId="34">
    <w:abstractNumId w:val="33"/>
  </w:num>
  <w:num w:numId="35">
    <w:abstractNumId w:val="9"/>
  </w:num>
  <w:num w:numId="36">
    <w:abstractNumId w:val="40"/>
  </w:num>
  <w:num w:numId="37">
    <w:abstractNumId w:val="23"/>
  </w:num>
  <w:num w:numId="38">
    <w:abstractNumId w:val="15"/>
  </w:num>
  <w:num w:numId="39">
    <w:abstractNumId w:val="2"/>
  </w:num>
  <w:num w:numId="40">
    <w:abstractNumId w:val="36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86"/>
    <w:rsid w:val="000113FB"/>
    <w:rsid w:val="00015C9B"/>
    <w:rsid w:val="00023996"/>
    <w:rsid w:val="00035002"/>
    <w:rsid w:val="00045841"/>
    <w:rsid w:val="00052620"/>
    <w:rsid w:val="000568F9"/>
    <w:rsid w:val="000645A6"/>
    <w:rsid w:val="000666A7"/>
    <w:rsid w:val="00083E96"/>
    <w:rsid w:val="000847F7"/>
    <w:rsid w:val="000A1728"/>
    <w:rsid w:val="000C059D"/>
    <w:rsid w:val="000C5B8E"/>
    <w:rsid w:val="000F02CE"/>
    <w:rsid w:val="000F353F"/>
    <w:rsid w:val="001046D2"/>
    <w:rsid w:val="00107917"/>
    <w:rsid w:val="00113348"/>
    <w:rsid w:val="00114CF3"/>
    <w:rsid w:val="00117FC8"/>
    <w:rsid w:val="00120D26"/>
    <w:rsid w:val="00122355"/>
    <w:rsid w:val="00144C8E"/>
    <w:rsid w:val="00145252"/>
    <w:rsid w:val="0014549D"/>
    <w:rsid w:val="001502ED"/>
    <w:rsid w:val="00161C91"/>
    <w:rsid w:val="00176BB1"/>
    <w:rsid w:val="001A33CA"/>
    <w:rsid w:val="001A33D7"/>
    <w:rsid w:val="001A3D28"/>
    <w:rsid w:val="001A3EF4"/>
    <w:rsid w:val="001B6C35"/>
    <w:rsid w:val="001C0212"/>
    <w:rsid w:val="001D15FB"/>
    <w:rsid w:val="001E206C"/>
    <w:rsid w:val="001E257E"/>
    <w:rsid w:val="001F6DC7"/>
    <w:rsid w:val="00214B72"/>
    <w:rsid w:val="00225C41"/>
    <w:rsid w:val="00226344"/>
    <w:rsid w:val="00226A2A"/>
    <w:rsid w:val="00226E92"/>
    <w:rsid w:val="00227666"/>
    <w:rsid w:val="00255DE3"/>
    <w:rsid w:val="00256CAA"/>
    <w:rsid w:val="00273628"/>
    <w:rsid w:val="002922C2"/>
    <w:rsid w:val="00295684"/>
    <w:rsid w:val="002A2EF4"/>
    <w:rsid w:val="002B46E0"/>
    <w:rsid w:val="002C0F48"/>
    <w:rsid w:val="002C3F26"/>
    <w:rsid w:val="002D4B0A"/>
    <w:rsid w:val="002E00CC"/>
    <w:rsid w:val="002E0D2D"/>
    <w:rsid w:val="002E3BCF"/>
    <w:rsid w:val="002F0A59"/>
    <w:rsid w:val="003356A7"/>
    <w:rsid w:val="00341D7A"/>
    <w:rsid w:val="00344212"/>
    <w:rsid w:val="00345FEC"/>
    <w:rsid w:val="003533CC"/>
    <w:rsid w:val="003559BC"/>
    <w:rsid w:val="00362D31"/>
    <w:rsid w:val="0037120B"/>
    <w:rsid w:val="00371C11"/>
    <w:rsid w:val="00380C28"/>
    <w:rsid w:val="00382CF3"/>
    <w:rsid w:val="00383C2F"/>
    <w:rsid w:val="00386073"/>
    <w:rsid w:val="003957E0"/>
    <w:rsid w:val="003C3072"/>
    <w:rsid w:val="003C49CD"/>
    <w:rsid w:val="003D4FEA"/>
    <w:rsid w:val="003D5EB3"/>
    <w:rsid w:val="003D70A7"/>
    <w:rsid w:val="003E022A"/>
    <w:rsid w:val="003E14AC"/>
    <w:rsid w:val="003E7973"/>
    <w:rsid w:val="003E7AF0"/>
    <w:rsid w:val="003F1E6C"/>
    <w:rsid w:val="003F3266"/>
    <w:rsid w:val="003F7191"/>
    <w:rsid w:val="00400695"/>
    <w:rsid w:val="0040316D"/>
    <w:rsid w:val="00423E67"/>
    <w:rsid w:val="004301F5"/>
    <w:rsid w:val="004328F3"/>
    <w:rsid w:val="00442715"/>
    <w:rsid w:val="004537C0"/>
    <w:rsid w:val="00461F48"/>
    <w:rsid w:val="00465C1B"/>
    <w:rsid w:val="004665EC"/>
    <w:rsid w:val="00470393"/>
    <w:rsid w:val="00475BFB"/>
    <w:rsid w:val="0048574D"/>
    <w:rsid w:val="00492070"/>
    <w:rsid w:val="0049636D"/>
    <w:rsid w:val="004A6F44"/>
    <w:rsid w:val="004B1A95"/>
    <w:rsid w:val="004B28E4"/>
    <w:rsid w:val="004E236C"/>
    <w:rsid w:val="004E2486"/>
    <w:rsid w:val="00503729"/>
    <w:rsid w:val="00505321"/>
    <w:rsid w:val="005075FE"/>
    <w:rsid w:val="00513EFA"/>
    <w:rsid w:val="00515319"/>
    <w:rsid w:val="005256BC"/>
    <w:rsid w:val="005369E5"/>
    <w:rsid w:val="005740C4"/>
    <w:rsid w:val="00580635"/>
    <w:rsid w:val="005859A8"/>
    <w:rsid w:val="005A5F54"/>
    <w:rsid w:val="005B2341"/>
    <w:rsid w:val="005B2EF4"/>
    <w:rsid w:val="005B4720"/>
    <w:rsid w:val="005B7585"/>
    <w:rsid w:val="005C19EC"/>
    <w:rsid w:val="005C6D68"/>
    <w:rsid w:val="005C7B35"/>
    <w:rsid w:val="005C7DF4"/>
    <w:rsid w:val="005D4865"/>
    <w:rsid w:val="005E013F"/>
    <w:rsid w:val="005F7810"/>
    <w:rsid w:val="0060108D"/>
    <w:rsid w:val="00604675"/>
    <w:rsid w:val="00610BAC"/>
    <w:rsid w:val="00631D3A"/>
    <w:rsid w:val="00641CAF"/>
    <w:rsid w:val="00642E32"/>
    <w:rsid w:val="0064685B"/>
    <w:rsid w:val="00654DB2"/>
    <w:rsid w:val="00660537"/>
    <w:rsid w:val="00661532"/>
    <w:rsid w:val="0066596B"/>
    <w:rsid w:val="006760FE"/>
    <w:rsid w:val="0068002B"/>
    <w:rsid w:val="00693596"/>
    <w:rsid w:val="006949E9"/>
    <w:rsid w:val="00696509"/>
    <w:rsid w:val="006A6EDD"/>
    <w:rsid w:val="006B52FA"/>
    <w:rsid w:val="006C53A1"/>
    <w:rsid w:val="006E69C7"/>
    <w:rsid w:val="006F59BD"/>
    <w:rsid w:val="007079E7"/>
    <w:rsid w:val="00714D27"/>
    <w:rsid w:val="00717A09"/>
    <w:rsid w:val="00732E9B"/>
    <w:rsid w:val="00733F1A"/>
    <w:rsid w:val="00741A6A"/>
    <w:rsid w:val="007518FF"/>
    <w:rsid w:val="0075774E"/>
    <w:rsid w:val="007629C3"/>
    <w:rsid w:val="007729C9"/>
    <w:rsid w:val="00792F96"/>
    <w:rsid w:val="00795CB3"/>
    <w:rsid w:val="007971BD"/>
    <w:rsid w:val="007A1C02"/>
    <w:rsid w:val="007A42B8"/>
    <w:rsid w:val="007A6241"/>
    <w:rsid w:val="007B12A4"/>
    <w:rsid w:val="007C08F0"/>
    <w:rsid w:val="007D271F"/>
    <w:rsid w:val="0080041E"/>
    <w:rsid w:val="008055D3"/>
    <w:rsid w:val="0080577E"/>
    <w:rsid w:val="00805F0C"/>
    <w:rsid w:val="008144F7"/>
    <w:rsid w:val="0082102D"/>
    <w:rsid w:val="0082416E"/>
    <w:rsid w:val="0083085E"/>
    <w:rsid w:val="008379CC"/>
    <w:rsid w:val="00860BB1"/>
    <w:rsid w:val="00874E43"/>
    <w:rsid w:val="008810A1"/>
    <w:rsid w:val="00894ACC"/>
    <w:rsid w:val="008A2E72"/>
    <w:rsid w:val="008B7C44"/>
    <w:rsid w:val="008C4CED"/>
    <w:rsid w:val="008C6F87"/>
    <w:rsid w:val="008D77CF"/>
    <w:rsid w:val="008F1CD8"/>
    <w:rsid w:val="008F755D"/>
    <w:rsid w:val="009004B1"/>
    <w:rsid w:val="00901CF8"/>
    <w:rsid w:val="00911565"/>
    <w:rsid w:val="00913823"/>
    <w:rsid w:val="00943E31"/>
    <w:rsid w:val="00957369"/>
    <w:rsid w:val="00971727"/>
    <w:rsid w:val="00983EB6"/>
    <w:rsid w:val="009A0FB2"/>
    <w:rsid w:val="009A2580"/>
    <w:rsid w:val="009A2C2D"/>
    <w:rsid w:val="009A6170"/>
    <w:rsid w:val="009B273D"/>
    <w:rsid w:val="009C7131"/>
    <w:rsid w:val="009F3E93"/>
    <w:rsid w:val="00A03D9F"/>
    <w:rsid w:val="00A22078"/>
    <w:rsid w:val="00A332FA"/>
    <w:rsid w:val="00A44B18"/>
    <w:rsid w:val="00A45B1C"/>
    <w:rsid w:val="00A464BC"/>
    <w:rsid w:val="00A51086"/>
    <w:rsid w:val="00A52BB9"/>
    <w:rsid w:val="00A57CB2"/>
    <w:rsid w:val="00A610A0"/>
    <w:rsid w:val="00A61334"/>
    <w:rsid w:val="00A82C98"/>
    <w:rsid w:val="00A853D6"/>
    <w:rsid w:val="00A95E5D"/>
    <w:rsid w:val="00AA6846"/>
    <w:rsid w:val="00AB1811"/>
    <w:rsid w:val="00AB5475"/>
    <w:rsid w:val="00AC1814"/>
    <w:rsid w:val="00AD1964"/>
    <w:rsid w:val="00AD79F5"/>
    <w:rsid w:val="00AE04D4"/>
    <w:rsid w:val="00AE0DA6"/>
    <w:rsid w:val="00AE1417"/>
    <w:rsid w:val="00AE5B75"/>
    <w:rsid w:val="00AF0ACB"/>
    <w:rsid w:val="00AF5862"/>
    <w:rsid w:val="00B07F94"/>
    <w:rsid w:val="00B11DE9"/>
    <w:rsid w:val="00B14DB8"/>
    <w:rsid w:val="00B3546B"/>
    <w:rsid w:val="00B3593C"/>
    <w:rsid w:val="00B43E17"/>
    <w:rsid w:val="00B550DE"/>
    <w:rsid w:val="00B71386"/>
    <w:rsid w:val="00B73B9C"/>
    <w:rsid w:val="00B76E07"/>
    <w:rsid w:val="00BA5CBD"/>
    <w:rsid w:val="00BB162D"/>
    <w:rsid w:val="00BB3A05"/>
    <w:rsid w:val="00BC58E9"/>
    <w:rsid w:val="00BD141E"/>
    <w:rsid w:val="00BD5520"/>
    <w:rsid w:val="00BF1676"/>
    <w:rsid w:val="00BF42D6"/>
    <w:rsid w:val="00C0784B"/>
    <w:rsid w:val="00C11B96"/>
    <w:rsid w:val="00C225F0"/>
    <w:rsid w:val="00C35133"/>
    <w:rsid w:val="00C363BF"/>
    <w:rsid w:val="00C439F8"/>
    <w:rsid w:val="00C566FD"/>
    <w:rsid w:val="00C60776"/>
    <w:rsid w:val="00C62120"/>
    <w:rsid w:val="00C64E4F"/>
    <w:rsid w:val="00C7026B"/>
    <w:rsid w:val="00C76032"/>
    <w:rsid w:val="00C976B8"/>
    <w:rsid w:val="00CA2098"/>
    <w:rsid w:val="00CA279C"/>
    <w:rsid w:val="00CB3E62"/>
    <w:rsid w:val="00CB73BD"/>
    <w:rsid w:val="00CC5226"/>
    <w:rsid w:val="00CC72A9"/>
    <w:rsid w:val="00CD65CB"/>
    <w:rsid w:val="00CE72D5"/>
    <w:rsid w:val="00CF1836"/>
    <w:rsid w:val="00CF1F78"/>
    <w:rsid w:val="00D2298A"/>
    <w:rsid w:val="00D25020"/>
    <w:rsid w:val="00D357E7"/>
    <w:rsid w:val="00D44214"/>
    <w:rsid w:val="00D730E6"/>
    <w:rsid w:val="00D75138"/>
    <w:rsid w:val="00D921EB"/>
    <w:rsid w:val="00DA29B3"/>
    <w:rsid w:val="00DA4A99"/>
    <w:rsid w:val="00DC7C82"/>
    <w:rsid w:val="00DE5413"/>
    <w:rsid w:val="00DE5EAF"/>
    <w:rsid w:val="00E00A40"/>
    <w:rsid w:val="00E04602"/>
    <w:rsid w:val="00E06411"/>
    <w:rsid w:val="00E07F9C"/>
    <w:rsid w:val="00E2164C"/>
    <w:rsid w:val="00E36A74"/>
    <w:rsid w:val="00E42A17"/>
    <w:rsid w:val="00E42D0C"/>
    <w:rsid w:val="00E51268"/>
    <w:rsid w:val="00E61371"/>
    <w:rsid w:val="00E73865"/>
    <w:rsid w:val="00E80B01"/>
    <w:rsid w:val="00E871B4"/>
    <w:rsid w:val="00E97286"/>
    <w:rsid w:val="00EA3128"/>
    <w:rsid w:val="00EA38AE"/>
    <w:rsid w:val="00EB08E1"/>
    <w:rsid w:val="00EB2E84"/>
    <w:rsid w:val="00EB6385"/>
    <w:rsid w:val="00EC293A"/>
    <w:rsid w:val="00ED163B"/>
    <w:rsid w:val="00ED4534"/>
    <w:rsid w:val="00EE09F2"/>
    <w:rsid w:val="00F13C2D"/>
    <w:rsid w:val="00F24397"/>
    <w:rsid w:val="00F544C2"/>
    <w:rsid w:val="00F744F2"/>
    <w:rsid w:val="00F750EB"/>
    <w:rsid w:val="00F82060"/>
    <w:rsid w:val="00F84267"/>
    <w:rsid w:val="00FB42E9"/>
    <w:rsid w:val="00FD5EA0"/>
    <w:rsid w:val="00FD7232"/>
    <w:rsid w:val="00FE5924"/>
    <w:rsid w:val="00FE68A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B99B2A-8669-4276-9BCB-D915C7E0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6411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Antrat2">
    <w:name w:val="heading 2"/>
    <w:basedOn w:val="prastasis"/>
    <w:next w:val="prastasis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Antrat3">
    <w:name w:val="heading 3"/>
    <w:basedOn w:val="prastasis"/>
    <w:next w:val="prastasis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sz w:val="22"/>
    </w:rPr>
  </w:style>
  <w:style w:type="paragraph" w:styleId="Antrat5">
    <w:name w:val="heading 5"/>
    <w:basedOn w:val="prastasis"/>
    <w:next w:val="prastasis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Antrat8">
    <w:name w:val="heading 8"/>
    <w:basedOn w:val="prastasis"/>
    <w:next w:val="prastasis"/>
    <w:qFormat/>
    <w:pPr>
      <w:keepNext/>
      <w:outlineLvl w:val="7"/>
    </w:pPr>
    <w:rPr>
      <w:b/>
      <w:bCs/>
      <w:sz w:val="22"/>
      <w:szCs w:val="22"/>
    </w:rPr>
  </w:style>
  <w:style w:type="paragraph" w:styleId="Antrat9">
    <w:name w:val="heading 9"/>
    <w:basedOn w:val="prastasis"/>
    <w:next w:val="prastasis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uslapionumeris">
    <w:name w:val="page number"/>
    <w:basedOn w:val="Numatytasispastraiposriftas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left="142" w:firstLine="578"/>
      <w:jc w:val="both"/>
    </w:pPr>
  </w:style>
  <w:style w:type="paragraph" w:styleId="Tekstoblokas">
    <w:name w:val="Block Text"/>
    <w:basedOn w:val="prastasis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Pagrindiniotekstotrauka3">
    <w:name w:val="Body Text Indent 3"/>
    <w:basedOn w:val="prastasis"/>
    <w:pPr>
      <w:widowControl w:val="0"/>
      <w:ind w:left="360"/>
      <w:jc w:val="both"/>
    </w:pPr>
    <w:rPr>
      <w:szCs w:val="20"/>
      <w:lang w:val="en-AU"/>
    </w:rPr>
  </w:style>
  <w:style w:type="paragraph" w:styleId="Pagrindinistekstas2">
    <w:name w:val="Body Text 2"/>
    <w:basedOn w:val="prastasis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Pagrindiniotekstotrauka2">
    <w:name w:val="Body Text Indent 2"/>
    <w:basedOn w:val="prastasis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Komentaronuoroda">
    <w:name w:val="annotation reference"/>
    <w:basedOn w:val="Numatytasispastraiposriftas"/>
    <w:semiHidden/>
    <w:rPr>
      <w:sz w:val="16"/>
    </w:rPr>
  </w:style>
  <w:style w:type="paragraph" w:styleId="Pagrindinistekstas">
    <w:name w:val="Body Text"/>
    <w:basedOn w:val="prastasis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aprastasistekstas">
    <w:name w:val="Plain Text"/>
    <w:basedOn w:val="prastasis"/>
    <w:rPr>
      <w:rFonts w:ascii="Courier New" w:hAnsi="Courier New" w:cs="Courier New"/>
      <w:sz w:val="20"/>
      <w:szCs w:val="20"/>
    </w:rPr>
  </w:style>
  <w:style w:type="paragraph" w:styleId="prastasiniatinklio">
    <w:name w:val="Normal (Web)"/>
    <w:basedOn w:val="prastasis"/>
    <w:uiPriority w:val="99"/>
    <w:rPr>
      <w:lang w:val="en-US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Pagrindinistekstas3">
    <w:name w:val="Body Text 3"/>
    <w:basedOn w:val="prastasis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prastasis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prastasis"/>
    <w:pPr>
      <w:jc w:val="center"/>
    </w:pPr>
  </w:style>
  <w:style w:type="paragraph" w:customStyle="1" w:styleId="normalr">
    <w:name w:val="normal.r"/>
    <w:basedOn w:val="prastasis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Numatytasispastraiposriftas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prastasis"/>
    <w:pPr>
      <w:tabs>
        <w:tab w:val="num" w:pos="284"/>
        <w:tab w:val="left" w:pos="851"/>
      </w:tabs>
    </w:pPr>
  </w:style>
  <w:style w:type="table" w:styleId="Lentelstinklelis">
    <w:name w:val="Table Grid"/>
    <w:basedOn w:val="prastojilente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Numatytasispastraiposriftas"/>
    <w:rsid w:val="00226E92"/>
  </w:style>
  <w:style w:type="character" w:customStyle="1" w:styleId="apple-converted-space">
    <w:name w:val="apple-converted-space"/>
    <w:basedOn w:val="Numatytasispastraiposriftas"/>
    <w:rsid w:val="00226E92"/>
  </w:style>
  <w:style w:type="character" w:styleId="Grietas">
    <w:name w:val="Strong"/>
    <w:basedOn w:val="Numatytasispastraiposriftas"/>
    <w:uiPriority w:val="22"/>
    <w:qFormat/>
    <w:rsid w:val="00226E92"/>
    <w:rPr>
      <w:b/>
      <w:bCs/>
    </w:rPr>
  </w:style>
  <w:style w:type="paragraph" w:styleId="Sraopastraipa">
    <w:name w:val="List Paragraph"/>
    <w:basedOn w:val="prastasis"/>
    <w:uiPriority w:val="34"/>
    <w:qFormat/>
    <w:rsid w:val="005D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20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32F9-2A43-49A8-903B-3E853303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2719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TSP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NERIJUS</dc:creator>
  <cp:lastModifiedBy>Andrius Vaicekauskas</cp:lastModifiedBy>
  <cp:revision>3</cp:revision>
  <cp:lastPrinted>2010-10-13T17:22:00Z</cp:lastPrinted>
  <dcterms:created xsi:type="dcterms:W3CDTF">2017-02-26T09:29:00Z</dcterms:created>
  <dcterms:modified xsi:type="dcterms:W3CDTF">2017-02-26T10:07:00Z</dcterms:modified>
</cp:coreProperties>
</file>